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B2D" w:rsidRDefault="001D5B2D" w:rsidP="001D5B2D">
      <w:pPr>
        <w:pStyle w:val="annexe"/>
      </w:pPr>
      <w:r>
        <w:t xml:space="preserve">ANNEXE N° </w:t>
      </w:r>
      <w:r w:rsidR="00662938">
        <w:t>2</w:t>
      </w:r>
      <w:r>
        <w:t xml:space="preserve"> : Définitions du BUREAU CENTRAL DU RECENSEMENT</w:t>
      </w:r>
    </w:p>
    <w:p w:rsidR="001D5B2D" w:rsidRDefault="001D5B2D" w:rsidP="001D5B2D">
      <w:pPr>
        <w:pStyle w:val="PIF4"/>
      </w:pPr>
    </w:p>
    <w:p w:rsidR="001D5B2D" w:rsidRDefault="001D5B2D" w:rsidP="001D5B2D">
      <w:pPr>
        <w:pStyle w:val="PIF3"/>
      </w:pPr>
      <w:r>
        <w:t xml:space="preserve">Le ménage : </w:t>
      </w:r>
    </w:p>
    <w:p w:rsidR="001D5B2D" w:rsidRDefault="001D5B2D" w:rsidP="001D5B2D">
      <w:pPr>
        <w:pStyle w:val="PIF4"/>
      </w:pPr>
      <w:r>
        <w:t>"Le ménage est un groupe d'individus apparentés ou non, vivant sous le même toit sous la responsabilité d'un chef de ménage dont l'autorité est reconnue par tous les membres du ménage. Le ménage ordinaire est constitué par un chef de ménage, son (ou ses) épouse(s) et leurs propres enfants non mariés, avec éventuellement d'autres membres de la famille ou des personnes sans lien de parenté. Il peut se réduire à une personne vivant seule ou avec ses enfants.</w:t>
      </w:r>
    </w:p>
    <w:p w:rsidR="001D5B2D" w:rsidRDefault="001D5B2D" w:rsidP="001D5B2D">
      <w:pPr>
        <w:pStyle w:val="PIF4"/>
      </w:pPr>
    </w:p>
    <w:p w:rsidR="001D5B2D" w:rsidRDefault="001D5B2D" w:rsidP="001D5B2D">
      <w:pPr>
        <w:pStyle w:val="PIF3"/>
      </w:pPr>
      <w:r>
        <w:t xml:space="preserve">La concession : </w:t>
      </w:r>
    </w:p>
    <w:p w:rsidR="001D5B2D" w:rsidRDefault="001D5B2D" w:rsidP="001D5B2D">
      <w:pPr>
        <w:pStyle w:val="PIF4"/>
      </w:pPr>
      <w:r>
        <w:t>"La concession est l'espace clôturé ou non, à l'intérieur duquel est érigé une ou plusieurs constructions à usage divers (habitations et dépendances, édifices publics ou privés, etc). Une concession est généralement entourée par un mur ou une haie, elle peut cependant dans certains cas, être constituée par un ensemble de constructions indépendantes, non obligatoirement entourée de mur ou de haie. Elle peut aussi se réduire à une seule construction ayant ou non une fonction déterminée. La concession peut être occupée par un seul ou plusieurs ménages. Elle est placée généralement sous la responsabilité d'un chef de concession.</w:t>
      </w:r>
    </w:p>
    <w:p w:rsidR="001D5B2D" w:rsidRDefault="001D5B2D" w:rsidP="001D5B2D">
      <w:pPr>
        <w:pStyle w:val="PIF4"/>
      </w:pPr>
    </w:p>
    <w:p w:rsidR="001D5B2D" w:rsidRDefault="001D5B2D" w:rsidP="001D5B2D">
      <w:pPr>
        <w:pStyle w:val="PIF3"/>
      </w:pPr>
      <w:r>
        <w:t>Le Centre urbain :</w:t>
      </w:r>
    </w:p>
    <w:p w:rsidR="001D5B2D" w:rsidRDefault="001D5B2D" w:rsidP="001D5B2D">
      <w:pPr>
        <w:pStyle w:val="PIF4"/>
      </w:pPr>
      <w:r>
        <w:t xml:space="preserve"> "Sont considérés comme centres urbains tous les chefs-lieux de Région, de commune</w:t>
      </w:r>
      <w:r>
        <w:rPr>
          <w:rStyle w:val="Appelnotedebasdep"/>
        </w:rPr>
        <w:footnoteReference w:id="2"/>
      </w:r>
      <w:r>
        <w:t xml:space="preserve"> et de cercle ainsi que toute localité peuplée de 5 000 habitants ou plus. Cette définition n'est certes pas satisfaisante mais elle à le mérite de constituer un élément de référence dans la recherche future d'amélioration. " </w:t>
      </w:r>
    </w:p>
    <w:p w:rsidR="001D5B2D" w:rsidRDefault="001D5B2D" w:rsidP="001D5B2D">
      <w:pPr>
        <w:pStyle w:val="PIF4"/>
      </w:pPr>
    </w:p>
    <w:p w:rsidR="001D5B2D" w:rsidRDefault="001D5B2D" w:rsidP="001D5B2D">
      <w:pPr>
        <w:pStyle w:val="PIF3"/>
      </w:pPr>
      <w:r>
        <w:t>Le village:</w:t>
      </w:r>
    </w:p>
    <w:p w:rsidR="001D5B2D" w:rsidRDefault="001D5B2D" w:rsidP="001D5B2D">
      <w:pPr>
        <w:pStyle w:val="PIF4"/>
      </w:pPr>
      <w:r>
        <w:t xml:space="preserve"> "Le village est un ensemble de concessions regroupées sur un espace géographique donné et qui abritent des ménages dépendant d'une même autorité locale ou chefferie."</w:t>
      </w:r>
    </w:p>
    <w:p w:rsidR="001D5B2D" w:rsidRDefault="001D5B2D" w:rsidP="001D5B2D">
      <w:pPr>
        <w:pStyle w:val="PIF4"/>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pStyle w:val="annexe"/>
        <w:rPr>
          <w:kern w:val="0"/>
        </w:rPr>
      </w:pPr>
      <w:r>
        <w:rPr>
          <w:kern w:val="0"/>
        </w:rPr>
        <w:t>ANNEXE N° 2 : EXTRAIT DES LOIS DE DECENTRALISATION DE LA REPUBLIQUE DU MALI</w:t>
      </w:r>
    </w:p>
    <w:p w:rsidR="001D5B2D" w:rsidRDefault="001D5B2D" w:rsidP="001D5B2D">
      <w:pPr>
        <w:jc w:val="both"/>
        <w:rPr>
          <w:rFonts w:ascii="Arial" w:hAnsi="Arial"/>
        </w:rPr>
      </w:pPr>
    </w:p>
    <w:p w:rsidR="001D5B2D" w:rsidRDefault="001D5B2D" w:rsidP="001D5B2D">
      <w:pPr>
        <w:pStyle w:val="Corpsdetexte2"/>
        <w:rPr>
          <w:rFonts w:ascii="Arial" w:hAnsi="Arial"/>
        </w:rPr>
      </w:pPr>
      <w:r>
        <w:rPr>
          <w:rFonts w:ascii="Arial" w:hAnsi="Arial"/>
        </w:rPr>
        <w:t>LOI N°93-008/ DETERMINANT LES CONDITIONS DE LA LIBRE ADMINISTRATION DES COLLECTIVITES TERRITORIALES MODIFIEE PAR LA LOI  96-056 DU 16 OCTOBRE 1996</w:t>
      </w:r>
    </w:p>
    <w:p w:rsidR="001D5B2D" w:rsidRDefault="001D5B2D" w:rsidP="001D5B2D">
      <w:pPr>
        <w:jc w:val="both"/>
        <w:rPr>
          <w:rFonts w:ascii="Arial" w:hAnsi="Arial"/>
        </w:rPr>
      </w:pPr>
    </w:p>
    <w:p w:rsidR="001D5B2D" w:rsidRDefault="001D5B2D" w:rsidP="001D5B2D">
      <w:pPr>
        <w:pStyle w:val="Titre1"/>
      </w:pPr>
      <w:r>
        <w:t>CHAPITRE I : DISPOSITIONS GENERALES</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Article 1</w:t>
      </w:r>
      <w:r>
        <w:rPr>
          <w:rFonts w:ascii="Arial" w:hAnsi="Arial"/>
          <w:b/>
          <w:vertAlign w:val="superscript"/>
        </w:rPr>
        <w:t>er</w:t>
      </w:r>
      <w:r>
        <w:rPr>
          <w:rFonts w:ascii="Arial" w:hAnsi="Arial"/>
        </w:rPr>
        <w:t xml:space="preserve"> : Dans le respect de l'unité nationale et de l'intégrité du territoire, les Collectivités Territoriales de la République du Mali sont : Les Régions, le District de Bamako, les Cercles, les Communes urbaines et les Communes rurales. La Région, le District de Bamako, le Cercle et la Commune urbaine ou rurale sont dotés de la personnalité morale et de l'autonomie financière.</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Article 2</w:t>
      </w:r>
      <w:r>
        <w:rPr>
          <w:rFonts w:ascii="Arial" w:hAnsi="Arial"/>
        </w:rPr>
        <w:t xml:space="preserve"> : Les Collectivités Territoriales sont créées, supprimées, scindées ou fusionnées par la loi. La loi de création fixe leur ressort administratif et leur nom. Le changement de nom et la modification de ressort administratif  sont fixés par la loi. Une loi fixe les limites des Collectivités Territoriales. Les principes de la dévolution des biens des Collectivités Territoriales sont déterminées par la loi.</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Article 3</w:t>
      </w:r>
      <w:r>
        <w:rPr>
          <w:rFonts w:ascii="Arial" w:hAnsi="Arial"/>
        </w:rPr>
        <w:t xml:space="preserve"> : Les Collectivités Territoriales ont pour mission la conception, la programmation et la mise en œuvre des actions de développement économiques, social et culturel d'intérêt régional ou local.</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 xml:space="preserve">Article 4 </w:t>
      </w:r>
      <w:r>
        <w:rPr>
          <w:rFonts w:ascii="Arial" w:hAnsi="Arial"/>
        </w:rPr>
        <w:t>: Chaque Collectivité Territoriale règle par délibération ses affaires propres. Tout transfert de compétences à une Collectivité doit être accompagné du transfert concomitant par l'Etat à celle-ci, des ressources et moyens nécessaires à l'exercice normal de ces compétences. La détermination de compétences des régions, du District de Bamako, des Cercles et des Communes relève de la Loi.</w:t>
      </w:r>
    </w:p>
    <w:p w:rsidR="001D5B2D" w:rsidRDefault="001D5B2D" w:rsidP="001D5B2D">
      <w:pPr>
        <w:jc w:val="both"/>
        <w:rPr>
          <w:rFonts w:ascii="Arial" w:hAnsi="Arial"/>
        </w:rPr>
      </w:pPr>
    </w:p>
    <w:p w:rsidR="001D5B2D" w:rsidRDefault="001D5B2D" w:rsidP="001D5B2D">
      <w:pPr>
        <w:jc w:val="both"/>
        <w:rPr>
          <w:rFonts w:ascii="Arial" w:hAnsi="Arial"/>
        </w:rPr>
      </w:pPr>
    </w:p>
    <w:p w:rsidR="001D5B2D" w:rsidRDefault="001D5B2D" w:rsidP="001D5B2D">
      <w:pPr>
        <w:pStyle w:val="Titre1"/>
      </w:pPr>
      <w:r>
        <w:t>CHAPITRE II : DE L'ADMINISTRATION ET DES FINANCES</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Article 5</w:t>
      </w:r>
      <w:r>
        <w:rPr>
          <w:rFonts w:ascii="Arial" w:hAnsi="Arial"/>
        </w:rPr>
        <w:t xml:space="preserve"> : Les Collectivités Territoriales s'administrent librement par des Assemblées ou Conseils élus. L'Assemblée ou le Conseil de la Collectivité territoriale élit en son sein un organe exécutif dont la composition est fixée par la loi.</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t>Article 6</w:t>
      </w:r>
      <w:r>
        <w:rPr>
          <w:rFonts w:ascii="Arial" w:hAnsi="Arial"/>
        </w:rPr>
        <w:t xml:space="preserve"> : Chaque Collectivité dispose d'un budget et de ressources propres. Les ressources d'une Collectivité comprennent :</w:t>
      </w:r>
    </w:p>
    <w:p w:rsidR="001D5B2D" w:rsidRDefault="001D5B2D" w:rsidP="001D5B2D">
      <w:pPr>
        <w:numPr>
          <w:ilvl w:val="0"/>
          <w:numId w:val="1"/>
        </w:numPr>
        <w:jc w:val="both"/>
        <w:rPr>
          <w:rFonts w:ascii="Arial" w:hAnsi="Arial"/>
        </w:rPr>
      </w:pPr>
      <w:r>
        <w:rPr>
          <w:rFonts w:ascii="Arial" w:hAnsi="Arial"/>
        </w:rPr>
        <w:t>Les impôts et taxes qu'elle est autorisée à percevoir;</w:t>
      </w:r>
    </w:p>
    <w:p w:rsidR="001D5B2D" w:rsidRDefault="001D5B2D" w:rsidP="001D5B2D">
      <w:pPr>
        <w:numPr>
          <w:ilvl w:val="0"/>
          <w:numId w:val="1"/>
        </w:numPr>
        <w:jc w:val="both"/>
        <w:rPr>
          <w:rFonts w:ascii="Arial" w:hAnsi="Arial"/>
        </w:rPr>
      </w:pPr>
      <w:r>
        <w:rPr>
          <w:rFonts w:ascii="Arial" w:hAnsi="Arial"/>
        </w:rPr>
        <w:t>les subventions de l'Etat ;</w:t>
      </w:r>
    </w:p>
    <w:p w:rsidR="001D5B2D" w:rsidRDefault="001D5B2D" w:rsidP="001D5B2D">
      <w:pPr>
        <w:numPr>
          <w:ilvl w:val="0"/>
          <w:numId w:val="1"/>
        </w:numPr>
        <w:jc w:val="both"/>
        <w:rPr>
          <w:rFonts w:ascii="Arial" w:hAnsi="Arial"/>
        </w:rPr>
      </w:pPr>
      <w:r>
        <w:rPr>
          <w:rFonts w:ascii="Arial" w:hAnsi="Arial"/>
        </w:rPr>
        <w:t>les taxes rémunératoires sur les services rendus;</w:t>
      </w:r>
    </w:p>
    <w:p w:rsidR="001D5B2D" w:rsidRDefault="001D5B2D" w:rsidP="001D5B2D">
      <w:pPr>
        <w:numPr>
          <w:ilvl w:val="0"/>
          <w:numId w:val="1"/>
        </w:numPr>
        <w:jc w:val="both"/>
        <w:rPr>
          <w:rFonts w:ascii="Arial" w:hAnsi="Arial"/>
        </w:rPr>
      </w:pPr>
      <w:r>
        <w:rPr>
          <w:rFonts w:ascii="Arial" w:hAnsi="Arial"/>
        </w:rPr>
        <w:t>les revenus de son domaine ;</w:t>
      </w:r>
    </w:p>
    <w:p w:rsidR="001D5B2D" w:rsidRDefault="001D5B2D" w:rsidP="001D5B2D">
      <w:pPr>
        <w:numPr>
          <w:ilvl w:val="0"/>
          <w:numId w:val="1"/>
        </w:numPr>
        <w:jc w:val="both"/>
        <w:rPr>
          <w:rFonts w:ascii="Arial" w:hAnsi="Arial"/>
        </w:rPr>
      </w:pPr>
      <w:r>
        <w:rPr>
          <w:rFonts w:ascii="Arial" w:hAnsi="Arial"/>
        </w:rPr>
        <w:t>les emprunts;</w:t>
      </w:r>
    </w:p>
    <w:p w:rsidR="001D5B2D" w:rsidRDefault="001D5B2D" w:rsidP="001D5B2D">
      <w:pPr>
        <w:numPr>
          <w:ilvl w:val="0"/>
          <w:numId w:val="1"/>
        </w:numPr>
        <w:jc w:val="both"/>
        <w:rPr>
          <w:rFonts w:ascii="Arial" w:hAnsi="Arial"/>
        </w:rPr>
      </w:pPr>
      <w:r>
        <w:rPr>
          <w:rFonts w:ascii="Arial" w:hAnsi="Arial"/>
        </w:rPr>
        <w:t>les dons et legs.</w:t>
      </w:r>
    </w:p>
    <w:p w:rsidR="001D5B2D" w:rsidRDefault="001D5B2D" w:rsidP="001D5B2D">
      <w:pPr>
        <w:jc w:val="both"/>
        <w:rPr>
          <w:rFonts w:ascii="Arial" w:hAnsi="Arial"/>
        </w:rPr>
      </w:pPr>
    </w:p>
    <w:p w:rsidR="001D5B2D" w:rsidRDefault="001D5B2D" w:rsidP="001D5B2D">
      <w:pPr>
        <w:jc w:val="both"/>
        <w:rPr>
          <w:rFonts w:ascii="Arial" w:hAnsi="Arial"/>
        </w:rPr>
      </w:pPr>
    </w:p>
    <w:p w:rsidR="001D5B2D" w:rsidRDefault="001D5B2D" w:rsidP="001D5B2D">
      <w:pPr>
        <w:jc w:val="both"/>
        <w:rPr>
          <w:rFonts w:ascii="Arial" w:hAnsi="Arial"/>
          <w:b/>
        </w:rPr>
      </w:pPr>
      <w:r>
        <w:rPr>
          <w:rFonts w:ascii="Arial" w:hAnsi="Arial"/>
          <w:b/>
        </w:rPr>
        <w:t>LOI N°95-034 PORTANT CODE DES COLLECTIVITES TERRITORIALES EN REPUBLIQUE DU MALI</w:t>
      </w:r>
    </w:p>
    <w:p w:rsidR="001D5B2D" w:rsidRDefault="001D5B2D" w:rsidP="001D5B2D">
      <w:pPr>
        <w:jc w:val="both"/>
        <w:rPr>
          <w:rFonts w:ascii="Arial" w:hAnsi="Arial"/>
          <w:b/>
        </w:rPr>
      </w:pPr>
      <w:r>
        <w:rPr>
          <w:rFonts w:ascii="Arial" w:hAnsi="Arial"/>
          <w:b/>
        </w:rPr>
        <w:t>MODIFIEE PAR LA LOI N°98-010 DU 19 JUIN 1998 et MODIFIEE PAR LA LOI N°98-066 DU 30 DECEMBRE 1998.</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rPr>
        <w:t>Le Président de la République promulgue la loi dont la teneur suit :</w:t>
      </w:r>
    </w:p>
    <w:p w:rsidR="001D5B2D" w:rsidRDefault="001D5B2D" w:rsidP="001D5B2D">
      <w:pPr>
        <w:jc w:val="both"/>
        <w:rPr>
          <w:rFonts w:ascii="Arial" w:hAnsi="Arial"/>
        </w:rPr>
      </w:pPr>
    </w:p>
    <w:p w:rsidR="001D5B2D" w:rsidRDefault="001D5B2D" w:rsidP="001D5B2D">
      <w:pPr>
        <w:pStyle w:val="Corpsdetexte"/>
        <w:rPr>
          <w:rFonts w:ascii="Arial" w:hAnsi="Arial"/>
          <w:b/>
        </w:rPr>
      </w:pPr>
      <w:r>
        <w:rPr>
          <w:rFonts w:ascii="Arial" w:hAnsi="Arial"/>
          <w:b/>
        </w:rPr>
        <w:t>PREMIERE PARTIE :</w:t>
      </w:r>
    </w:p>
    <w:p w:rsidR="001D5B2D" w:rsidRDefault="001D5B2D" w:rsidP="001D5B2D">
      <w:pPr>
        <w:jc w:val="both"/>
        <w:rPr>
          <w:rFonts w:ascii="Arial" w:hAnsi="Arial"/>
          <w:b/>
        </w:rPr>
      </w:pPr>
      <w:r>
        <w:rPr>
          <w:rFonts w:ascii="Arial" w:hAnsi="Arial"/>
          <w:b/>
        </w:rPr>
        <w:t>LES INSTITUTIONS DES COLLECTIVITES</w:t>
      </w:r>
    </w:p>
    <w:p w:rsidR="001D5B2D" w:rsidRDefault="001D5B2D" w:rsidP="001D5B2D">
      <w:pPr>
        <w:jc w:val="both"/>
        <w:rPr>
          <w:rFonts w:ascii="Arial" w:hAnsi="Arial"/>
        </w:rPr>
      </w:pPr>
    </w:p>
    <w:p w:rsidR="001D5B2D" w:rsidRDefault="001D5B2D" w:rsidP="001D5B2D">
      <w:pPr>
        <w:pStyle w:val="Titre1"/>
      </w:pPr>
      <w:r>
        <w:t>TITRE I : DE LA COMMUNE</w:t>
      </w:r>
    </w:p>
    <w:p w:rsidR="001D5B2D" w:rsidRDefault="001D5B2D" w:rsidP="001D5B2D">
      <w:pPr>
        <w:jc w:val="center"/>
        <w:rPr>
          <w:rFonts w:ascii="Arial" w:hAnsi="Arial"/>
          <w:b/>
        </w:rPr>
      </w:pPr>
    </w:p>
    <w:p w:rsidR="001D5B2D" w:rsidRDefault="001D5B2D" w:rsidP="001D5B2D">
      <w:pPr>
        <w:jc w:val="both"/>
        <w:rPr>
          <w:rFonts w:ascii="Arial" w:hAnsi="Arial"/>
        </w:rPr>
      </w:pPr>
      <w:r>
        <w:rPr>
          <w:rFonts w:ascii="Arial" w:hAnsi="Arial"/>
          <w:b/>
        </w:rPr>
        <w:t>Article 1</w:t>
      </w:r>
      <w:r>
        <w:rPr>
          <w:rFonts w:ascii="Arial" w:hAnsi="Arial"/>
          <w:b/>
          <w:vertAlign w:val="superscript"/>
        </w:rPr>
        <w:t>er</w:t>
      </w:r>
      <w:r>
        <w:rPr>
          <w:rFonts w:ascii="Arial" w:hAnsi="Arial"/>
        </w:rPr>
        <w:t xml:space="preserve"> : La commune urbaine ou rurale est une collectivité décentralisée dotée de la personnalité morale et de l'autonomie financière.</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b/>
        </w:rPr>
        <w:lastRenderedPageBreak/>
        <w:t>Article 2</w:t>
      </w:r>
      <w:r>
        <w:rPr>
          <w:rFonts w:ascii="Arial" w:hAnsi="Arial"/>
        </w:rPr>
        <w:t xml:space="preserve"> : La commune urbaine se compose essentiellement de quartiers. La commune rurale se compose essentiellement de villages et/ou de fractions.</w:t>
      </w:r>
    </w:p>
    <w:p w:rsidR="001D5B2D" w:rsidRDefault="001D5B2D" w:rsidP="001D5B2D">
      <w:pPr>
        <w:jc w:val="both"/>
        <w:rPr>
          <w:rFonts w:ascii="Arial" w:hAnsi="Arial"/>
        </w:rPr>
      </w:pPr>
    </w:p>
    <w:p w:rsidR="001D5B2D" w:rsidRDefault="001D5B2D" w:rsidP="001D5B2D">
      <w:pPr>
        <w:pStyle w:val="Corpsdetexte"/>
        <w:rPr>
          <w:rFonts w:ascii="Arial" w:hAnsi="Arial"/>
        </w:rPr>
      </w:pPr>
      <w:r>
        <w:rPr>
          <w:rFonts w:ascii="Arial" w:hAnsi="Arial"/>
          <w:b/>
        </w:rPr>
        <w:t xml:space="preserve">Article 3 </w:t>
      </w:r>
      <w:r>
        <w:rPr>
          <w:rFonts w:ascii="Arial" w:hAnsi="Arial"/>
        </w:rPr>
        <w:t>: L'érection en commune doit remplir avant toute considération le critère fondamental de l'adéquation du cadre territorial et humain concerné, qui se traduit par la réunion de certaines conditions dont la volonté de vivre ensemble, l'existence de liens de solidarité et la viabilité économique.</w:t>
      </w:r>
    </w:p>
    <w:p w:rsidR="001D5B2D" w:rsidRDefault="001D5B2D" w:rsidP="001D5B2D">
      <w:pPr>
        <w:pStyle w:val="Corpsdetexte"/>
        <w:rPr>
          <w:rFonts w:ascii="Arial" w:hAnsi="Arial"/>
        </w:rPr>
      </w:pPr>
    </w:p>
    <w:p w:rsidR="001D5B2D" w:rsidRDefault="001D5B2D" w:rsidP="001D5B2D">
      <w:pPr>
        <w:pStyle w:val="Titre2"/>
        <w:jc w:val="center"/>
        <w:rPr>
          <w:rFonts w:ascii="Arial" w:hAnsi="Arial"/>
        </w:rPr>
      </w:pPr>
      <w:r>
        <w:rPr>
          <w:rFonts w:ascii="Arial" w:hAnsi="Arial"/>
        </w:rPr>
        <w:t>CHAPITRE I : DU CONSEIL COMMUNAL</w:t>
      </w:r>
    </w:p>
    <w:p w:rsidR="001D5B2D" w:rsidRDefault="001D5B2D" w:rsidP="001D5B2D">
      <w:pPr>
        <w:jc w:val="both"/>
        <w:rPr>
          <w:rFonts w:ascii="Arial" w:hAnsi="Arial"/>
          <w:b/>
        </w:rPr>
      </w:pPr>
    </w:p>
    <w:p w:rsidR="001D5B2D" w:rsidRDefault="001D5B2D" w:rsidP="001D5B2D">
      <w:pPr>
        <w:pStyle w:val="Titre2"/>
        <w:rPr>
          <w:rFonts w:ascii="Arial" w:hAnsi="Arial"/>
        </w:rPr>
      </w:pPr>
      <w:r>
        <w:rPr>
          <w:rFonts w:ascii="Arial" w:hAnsi="Arial"/>
        </w:rPr>
        <w:t>SECTION I : FORMATION, SUSPENSION, DISSOLUTION, DEMISSION</w:t>
      </w:r>
    </w:p>
    <w:p w:rsidR="001D5B2D" w:rsidRDefault="001D5B2D" w:rsidP="001D5B2D">
      <w:pPr>
        <w:jc w:val="both"/>
        <w:rPr>
          <w:rFonts w:ascii="Arial" w:hAnsi="Arial"/>
          <w:b/>
        </w:rPr>
      </w:pPr>
    </w:p>
    <w:p w:rsidR="001D5B2D" w:rsidRDefault="001D5B2D" w:rsidP="001D5B2D">
      <w:pPr>
        <w:jc w:val="both"/>
        <w:rPr>
          <w:rFonts w:ascii="Arial" w:hAnsi="Arial"/>
        </w:rPr>
      </w:pPr>
      <w:r>
        <w:rPr>
          <w:rFonts w:ascii="Arial" w:hAnsi="Arial"/>
          <w:b/>
        </w:rPr>
        <w:t>Article 4</w:t>
      </w:r>
      <w:r>
        <w:rPr>
          <w:rFonts w:ascii="Arial" w:hAnsi="Arial"/>
        </w:rPr>
        <w:t xml:space="preserve"> : Dans chaque commune est institué un Conseil Communal composé de membres élus par les citoyens résidant dans la commune.</w:t>
      </w:r>
    </w:p>
    <w:p w:rsidR="001D5B2D" w:rsidRDefault="001D5B2D" w:rsidP="001D5B2D">
      <w:pPr>
        <w:jc w:val="both"/>
        <w:rPr>
          <w:rFonts w:ascii="Arial" w:hAnsi="Arial"/>
        </w:rPr>
      </w:pPr>
      <w:r>
        <w:rPr>
          <w:rFonts w:ascii="Arial" w:hAnsi="Arial"/>
          <w:b/>
        </w:rPr>
        <w:t>Article 7</w:t>
      </w:r>
      <w:r>
        <w:rPr>
          <w:rFonts w:ascii="Arial" w:hAnsi="Arial"/>
        </w:rPr>
        <w:t xml:space="preserve"> : Le mandat du Conseil est de cinq ans. Il peut être prorogé de six mois au plus par Décret pris en Conseil des Ministres.</w:t>
      </w:r>
    </w:p>
    <w:p w:rsidR="001D5B2D" w:rsidRDefault="001D5B2D" w:rsidP="001D5B2D">
      <w:pPr>
        <w:jc w:val="both"/>
        <w:rPr>
          <w:rFonts w:ascii="Arial" w:hAnsi="Arial"/>
        </w:rPr>
      </w:pPr>
    </w:p>
    <w:p w:rsidR="001D5B2D" w:rsidRDefault="001D5B2D" w:rsidP="001D5B2D">
      <w:pPr>
        <w:pStyle w:val="Titre2"/>
        <w:rPr>
          <w:rFonts w:ascii="Arial" w:hAnsi="Arial"/>
        </w:rPr>
      </w:pPr>
      <w:r>
        <w:rPr>
          <w:rFonts w:ascii="Arial" w:hAnsi="Arial"/>
        </w:rPr>
        <w:t>SECTION II : ATTRIBUTION DU CONSEIL COMMUNAL</w:t>
      </w:r>
    </w:p>
    <w:p w:rsidR="001D5B2D" w:rsidRDefault="001D5B2D" w:rsidP="001D5B2D">
      <w:pPr>
        <w:jc w:val="both"/>
        <w:rPr>
          <w:rFonts w:ascii="Arial" w:hAnsi="Arial"/>
          <w:b/>
        </w:rPr>
      </w:pPr>
    </w:p>
    <w:p w:rsidR="001D5B2D" w:rsidRDefault="001D5B2D" w:rsidP="001D5B2D">
      <w:pPr>
        <w:jc w:val="both"/>
        <w:rPr>
          <w:rFonts w:ascii="Arial" w:hAnsi="Arial"/>
        </w:rPr>
      </w:pPr>
      <w:r>
        <w:rPr>
          <w:rFonts w:ascii="Arial" w:hAnsi="Arial"/>
          <w:b/>
        </w:rPr>
        <w:t>Article 14</w:t>
      </w:r>
      <w:r>
        <w:rPr>
          <w:rFonts w:ascii="Arial" w:hAnsi="Arial"/>
        </w:rPr>
        <w:t xml:space="preserve"> : Le Conseil Communal règle par ses délibérations les affaires de la commune, notamment celles relatives aux programmes de développement économique, social et culturel.</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rPr>
        <w:t>Ainsi, il délibère entre autres sur :</w:t>
      </w:r>
    </w:p>
    <w:p w:rsidR="001D5B2D" w:rsidRDefault="001D5B2D" w:rsidP="001D5B2D">
      <w:pPr>
        <w:numPr>
          <w:ilvl w:val="0"/>
          <w:numId w:val="1"/>
        </w:numPr>
        <w:jc w:val="both"/>
        <w:rPr>
          <w:rFonts w:ascii="Arial" w:hAnsi="Arial"/>
        </w:rPr>
      </w:pPr>
      <w:r>
        <w:rPr>
          <w:rFonts w:ascii="Arial" w:hAnsi="Arial"/>
        </w:rPr>
        <w:t>les budgets et les comptes communaux,</w:t>
      </w:r>
    </w:p>
    <w:p w:rsidR="001D5B2D" w:rsidRDefault="001D5B2D" w:rsidP="001D5B2D">
      <w:pPr>
        <w:numPr>
          <w:ilvl w:val="0"/>
          <w:numId w:val="1"/>
        </w:numPr>
        <w:jc w:val="both"/>
        <w:rPr>
          <w:rFonts w:ascii="Arial" w:hAnsi="Arial"/>
        </w:rPr>
      </w:pPr>
      <w:r>
        <w:rPr>
          <w:rFonts w:ascii="Arial" w:hAnsi="Arial"/>
        </w:rPr>
        <w:t>la protection de l'environnement,</w:t>
      </w:r>
    </w:p>
    <w:p w:rsidR="001D5B2D" w:rsidRDefault="001D5B2D" w:rsidP="001D5B2D">
      <w:pPr>
        <w:numPr>
          <w:ilvl w:val="0"/>
          <w:numId w:val="1"/>
        </w:numPr>
        <w:jc w:val="both"/>
        <w:rPr>
          <w:rFonts w:ascii="Arial" w:hAnsi="Arial"/>
        </w:rPr>
      </w:pPr>
      <w:r>
        <w:rPr>
          <w:rFonts w:ascii="Arial" w:hAnsi="Arial"/>
        </w:rPr>
        <w:t>les plans d'occupation et les opérations d'aménagement de l'espace communal,</w:t>
      </w:r>
    </w:p>
    <w:p w:rsidR="001D5B2D" w:rsidRDefault="001D5B2D" w:rsidP="001D5B2D">
      <w:pPr>
        <w:numPr>
          <w:ilvl w:val="0"/>
          <w:numId w:val="1"/>
        </w:numPr>
        <w:jc w:val="both"/>
        <w:rPr>
          <w:rFonts w:ascii="Arial" w:hAnsi="Arial"/>
        </w:rPr>
      </w:pPr>
      <w:r>
        <w:rPr>
          <w:rFonts w:ascii="Arial" w:hAnsi="Arial"/>
        </w:rPr>
        <w:t>la gestion domaniale et foncière et l'acquisition du patrimoine,</w:t>
      </w:r>
    </w:p>
    <w:p w:rsidR="001D5B2D" w:rsidRDefault="001D5B2D" w:rsidP="001D5B2D">
      <w:pPr>
        <w:numPr>
          <w:ilvl w:val="0"/>
          <w:numId w:val="1"/>
        </w:numPr>
        <w:jc w:val="both"/>
        <w:rPr>
          <w:rFonts w:ascii="Arial" w:hAnsi="Arial"/>
        </w:rPr>
      </w:pPr>
      <w:r>
        <w:rPr>
          <w:rFonts w:ascii="Arial" w:hAnsi="Arial"/>
        </w:rPr>
        <w:t xml:space="preserve">la politique de création et de gestion des équipements collectifs, notamment dans les domaines suivants : </w:t>
      </w:r>
    </w:p>
    <w:p w:rsidR="001D5B2D" w:rsidRDefault="001D5B2D" w:rsidP="001D5B2D">
      <w:pPr>
        <w:ind w:firstLine="709"/>
        <w:jc w:val="both"/>
        <w:rPr>
          <w:rFonts w:ascii="Arial" w:hAnsi="Arial"/>
        </w:rPr>
      </w:pPr>
      <w:r>
        <w:rPr>
          <w:rFonts w:ascii="Arial" w:hAnsi="Arial"/>
        </w:rPr>
        <w:t>- l'enseignement préscolaire et l'alphabétisation;</w:t>
      </w:r>
    </w:p>
    <w:p w:rsidR="001D5B2D" w:rsidRDefault="001D5B2D" w:rsidP="001D5B2D">
      <w:pPr>
        <w:ind w:firstLine="708"/>
        <w:jc w:val="both"/>
        <w:rPr>
          <w:rFonts w:ascii="Arial" w:hAnsi="Arial"/>
        </w:rPr>
      </w:pPr>
      <w:r>
        <w:rPr>
          <w:rFonts w:ascii="Arial" w:hAnsi="Arial"/>
        </w:rPr>
        <w:t>- le premier cycle de l'enseignement fondamental</w:t>
      </w:r>
    </w:p>
    <w:p w:rsidR="001D5B2D" w:rsidRDefault="001D5B2D" w:rsidP="001D5B2D">
      <w:pPr>
        <w:ind w:firstLine="708"/>
        <w:jc w:val="both"/>
        <w:rPr>
          <w:rFonts w:ascii="Arial" w:hAnsi="Arial"/>
        </w:rPr>
      </w:pPr>
      <w:r>
        <w:rPr>
          <w:rFonts w:ascii="Arial" w:hAnsi="Arial"/>
        </w:rPr>
        <w:t>- les dispensaires, maternités, hygiène publique, l'assainissement et les centres de santé communautaire;</w:t>
      </w:r>
    </w:p>
    <w:p w:rsidR="001D5B2D" w:rsidRDefault="001D5B2D" w:rsidP="001D5B2D">
      <w:pPr>
        <w:tabs>
          <w:tab w:val="left" w:pos="709"/>
        </w:tabs>
        <w:ind w:left="708"/>
        <w:jc w:val="both"/>
        <w:rPr>
          <w:rFonts w:ascii="Arial" w:hAnsi="Arial"/>
        </w:rPr>
      </w:pPr>
      <w:r>
        <w:rPr>
          <w:rFonts w:ascii="Arial" w:hAnsi="Arial"/>
        </w:rPr>
        <w:t>- les infrastructures routières et de communication classées dans le domaine communal,</w:t>
      </w:r>
    </w:p>
    <w:p w:rsidR="001D5B2D" w:rsidRDefault="001D5B2D" w:rsidP="001D5B2D">
      <w:pPr>
        <w:tabs>
          <w:tab w:val="left" w:pos="709"/>
        </w:tabs>
        <w:ind w:left="708"/>
        <w:jc w:val="both"/>
        <w:rPr>
          <w:rFonts w:ascii="Arial" w:hAnsi="Arial"/>
        </w:rPr>
      </w:pPr>
      <w:r>
        <w:rPr>
          <w:rFonts w:ascii="Arial" w:hAnsi="Arial"/>
        </w:rPr>
        <w:t>- le transport public et les plans de circulation</w:t>
      </w:r>
    </w:p>
    <w:p w:rsidR="001D5B2D" w:rsidRDefault="001D5B2D" w:rsidP="001D5B2D">
      <w:pPr>
        <w:tabs>
          <w:tab w:val="left" w:pos="709"/>
        </w:tabs>
        <w:ind w:left="708"/>
        <w:jc w:val="both"/>
        <w:rPr>
          <w:rFonts w:ascii="Arial" w:hAnsi="Arial"/>
        </w:rPr>
      </w:pPr>
      <w:r>
        <w:rPr>
          <w:rFonts w:ascii="Arial" w:hAnsi="Arial"/>
        </w:rPr>
        <w:t>- l'hydraulique rurale et urbaine</w:t>
      </w:r>
    </w:p>
    <w:p w:rsidR="001D5B2D" w:rsidRDefault="001D5B2D" w:rsidP="001D5B2D">
      <w:pPr>
        <w:tabs>
          <w:tab w:val="left" w:pos="709"/>
        </w:tabs>
        <w:ind w:left="708"/>
        <w:jc w:val="both"/>
        <w:rPr>
          <w:rFonts w:ascii="Arial" w:hAnsi="Arial"/>
        </w:rPr>
      </w:pPr>
      <w:r>
        <w:rPr>
          <w:rFonts w:ascii="Arial" w:hAnsi="Arial"/>
        </w:rPr>
        <w:t>- les foires et les marchés</w:t>
      </w:r>
    </w:p>
    <w:p w:rsidR="001D5B2D" w:rsidRDefault="001D5B2D" w:rsidP="001D5B2D">
      <w:pPr>
        <w:tabs>
          <w:tab w:val="left" w:pos="709"/>
        </w:tabs>
        <w:ind w:left="708"/>
        <w:jc w:val="both"/>
        <w:rPr>
          <w:rFonts w:ascii="Arial" w:hAnsi="Arial"/>
        </w:rPr>
      </w:pPr>
      <w:r>
        <w:rPr>
          <w:rFonts w:ascii="Arial" w:hAnsi="Arial"/>
        </w:rPr>
        <w:t>- le sport, les arts et la culture.</w:t>
      </w:r>
    </w:p>
    <w:p w:rsidR="001D5B2D" w:rsidRDefault="001D5B2D" w:rsidP="001D5B2D">
      <w:pPr>
        <w:numPr>
          <w:ilvl w:val="0"/>
          <w:numId w:val="1"/>
        </w:numPr>
        <w:tabs>
          <w:tab w:val="left" w:pos="-2127"/>
        </w:tabs>
        <w:jc w:val="both"/>
        <w:rPr>
          <w:rFonts w:ascii="Arial" w:hAnsi="Arial"/>
        </w:rPr>
      </w:pPr>
      <w:r>
        <w:rPr>
          <w:rFonts w:ascii="Arial" w:hAnsi="Arial"/>
        </w:rPr>
        <w:t>l'organisation des activités rurales et des productions agro-sylvo-pastorales,</w:t>
      </w:r>
    </w:p>
    <w:p w:rsidR="001D5B2D" w:rsidRDefault="001D5B2D" w:rsidP="001D5B2D">
      <w:pPr>
        <w:numPr>
          <w:ilvl w:val="0"/>
          <w:numId w:val="1"/>
        </w:numPr>
        <w:tabs>
          <w:tab w:val="left" w:pos="-2127"/>
        </w:tabs>
        <w:jc w:val="both"/>
        <w:rPr>
          <w:rFonts w:ascii="Arial" w:hAnsi="Arial"/>
        </w:rPr>
      </w:pPr>
      <w:r>
        <w:rPr>
          <w:rFonts w:ascii="Arial" w:hAnsi="Arial"/>
        </w:rPr>
        <w:t>………</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p>
    <w:p w:rsidR="001D5B2D" w:rsidRDefault="001D5B2D" w:rsidP="001D5B2D">
      <w:pPr>
        <w:pStyle w:val="Titre2"/>
        <w:tabs>
          <w:tab w:val="left" w:pos="-2127"/>
        </w:tabs>
        <w:jc w:val="center"/>
        <w:rPr>
          <w:rFonts w:ascii="Arial" w:hAnsi="Arial"/>
        </w:rPr>
      </w:pPr>
      <w:r>
        <w:rPr>
          <w:rFonts w:ascii="Arial" w:hAnsi="Arial"/>
        </w:rPr>
        <w:t>CHAPITRE III : DU VILLAGE, DE LA FRACTION ET DU QUARTIER</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60</w:t>
      </w:r>
      <w:r>
        <w:rPr>
          <w:rFonts w:ascii="Arial" w:hAnsi="Arial"/>
        </w:rPr>
        <w:t xml:space="preserve"> : Le village est la communauté de base en milieu rural sédentaire.</w:t>
      </w:r>
    </w:p>
    <w:p w:rsidR="001D5B2D" w:rsidRDefault="001D5B2D" w:rsidP="001D5B2D">
      <w:pPr>
        <w:tabs>
          <w:tab w:val="left" w:pos="-2127"/>
        </w:tabs>
        <w:jc w:val="both"/>
        <w:rPr>
          <w:rFonts w:ascii="Arial" w:hAnsi="Arial"/>
        </w:rPr>
      </w:pPr>
      <w:r>
        <w:rPr>
          <w:rFonts w:ascii="Arial" w:hAnsi="Arial"/>
        </w:rPr>
        <w:t>La fraction est la communauté de base en milieu nomade.</w:t>
      </w:r>
    </w:p>
    <w:p w:rsidR="001D5B2D" w:rsidRDefault="001D5B2D" w:rsidP="001D5B2D">
      <w:pPr>
        <w:tabs>
          <w:tab w:val="left" w:pos="-2127"/>
        </w:tabs>
        <w:jc w:val="both"/>
        <w:rPr>
          <w:rFonts w:ascii="Arial" w:hAnsi="Arial"/>
        </w:rPr>
      </w:pPr>
      <w:r>
        <w:rPr>
          <w:rFonts w:ascii="Arial" w:hAnsi="Arial"/>
        </w:rPr>
        <w:t>Le quartier est la communauté de base en milieu urbain.</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61</w:t>
      </w:r>
      <w:r>
        <w:rPr>
          <w:rFonts w:ascii="Arial" w:hAnsi="Arial"/>
        </w:rPr>
        <w:t xml:space="preserve"> : Le Village, la Fraction et le Quartier sont reconnus en tant que tels par arrêté du représentant de l'Etat au niveau régional, à la demande des populations, après avis du Conseil Communal.</w:t>
      </w:r>
    </w:p>
    <w:p w:rsidR="001D5B2D" w:rsidRDefault="001D5B2D" w:rsidP="001D5B2D">
      <w:pPr>
        <w:tabs>
          <w:tab w:val="left" w:pos="-2127"/>
        </w:tabs>
        <w:jc w:val="both"/>
        <w:rPr>
          <w:rFonts w:ascii="Arial" w:hAnsi="Arial"/>
        </w:rPr>
      </w:pPr>
      <w:r>
        <w:rPr>
          <w:rFonts w:ascii="Arial" w:hAnsi="Arial"/>
        </w:rPr>
        <w:t>Les critères pour la reconnaissance sont fixés par arrêté du Ministre chargé des Collectivités Territoriales.</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62</w:t>
      </w:r>
      <w:r>
        <w:rPr>
          <w:rFonts w:ascii="Arial" w:hAnsi="Arial"/>
        </w:rPr>
        <w:t xml:space="preserve"> : Le village, la fraction ou le quartier sont administrés par un chef de village, de fraction ou de quartier investis par le conseil de la communauté concernée.</w:t>
      </w:r>
    </w:p>
    <w:p w:rsidR="001D5B2D" w:rsidRDefault="001D5B2D" w:rsidP="001D5B2D">
      <w:pPr>
        <w:tabs>
          <w:tab w:val="left" w:pos="-2127"/>
        </w:tabs>
        <w:jc w:val="both"/>
        <w:rPr>
          <w:rFonts w:ascii="Arial" w:hAnsi="Arial"/>
        </w:rPr>
      </w:pPr>
      <w:r>
        <w:rPr>
          <w:rFonts w:ascii="Arial" w:hAnsi="Arial"/>
        </w:rPr>
        <w:t>Cette investiture est entérinée au plus tard dans un délai d'un mois (30 jours francs) par décision du représentant de l'Etat au niveau du cercle, sur proposition du Conseil de Village ou de Fraction en ce qui concerne le village et la fraction, et du Conseil Communal en ce qui concerne le chef de quartier.</w:t>
      </w:r>
    </w:p>
    <w:p w:rsidR="001D5B2D" w:rsidRDefault="001D5B2D" w:rsidP="001D5B2D">
      <w:pPr>
        <w:tabs>
          <w:tab w:val="left" w:pos="-2127"/>
        </w:tabs>
        <w:jc w:val="both"/>
        <w:rPr>
          <w:rFonts w:ascii="Arial" w:hAnsi="Arial"/>
        </w:rPr>
      </w:pPr>
      <w:r>
        <w:rPr>
          <w:rFonts w:ascii="Arial" w:hAnsi="Arial"/>
        </w:rPr>
        <w:t>Passé ce délai, les intéressés exercent de plein droit leurs attributions.</w:t>
      </w:r>
    </w:p>
    <w:p w:rsidR="001D5B2D" w:rsidRDefault="001D5B2D" w:rsidP="001D5B2D">
      <w:pPr>
        <w:tabs>
          <w:tab w:val="left" w:pos="-2127"/>
        </w:tabs>
        <w:jc w:val="both"/>
        <w:rPr>
          <w:rFonts w:ascii="Arial" w:hAnsi="Arial"/>
        </w:rPr>
      </w:pPr>
      <w:r>
        <w:rPr>
          <w:rFonts w:ascii="Arial" w:hAnsi="Arial"/>
        </w:rPr>
        <w:lastRenderedPageBreak/>
        <w:t>Ils sont révoqués suivant décision motivée de représentant de l'Etat au niveau du cercle et après avis du conseil communal concerné.</w:t>
      </w:r>
    </w:p>
    <w:p w:rsidR="001D5B2D" w:rsidRDefault="001D5B2D" w:rsidP="001D5B2D">
      <w:pPr>
        <w:tabs>
          <w:tab w:val="left" w:pos="-2127"/>
        </w:tabs>
        <w:jc w:val="both"/>
        <w:rPr>
          <w:rFonts w:ascii="Arial" w:hAnsi="Arial"/>
        </w:rPr>
      </w:pPr>
      <w:r>
        <w:rPr>
          <w:rFonts w:ascii="Arial" w:hAnsi="Arial"/>
        </w:rPr>
        <w:t xml:space="preserve"> </w:t>
      </w:r>
    </w:p>
    <w:p w:rsidR="001D5B2D" w:rsidRDefault="001D5B2D" w:rsidP="001D5B2D">
      <w:pPr>
        <w:pStyle w:val="Titre2"/>
        <w:tabs>
          <w:tab w:val="left" w:pos="-2127"/>
        </w:tabs>
        <w:rPr>
          <w:rFonts w:ascii="Arial" w:hAnsi="Arial"/>
        </w:rPr>
      </w:pPr>
      <w:r>
        <w:rPr>
          <w:rFonts w:ascii="Arial" w:hAnsi="Arial"/>
        </w:rPr>
        <w:t>SECTION I : DU CHEF DE VILLAGE, DE FRACTION ET DE QUARTIER</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63</w:t>
      </w:r>
      <w:r>
        <w:rPr>
          <w:rFonts w:ascii="Arial" w:hAnsi="Arial"/>
        </w:rPr>
        <w:t xml:space="preserve"> : Le chef de village, de fraction ou de quartier préside le conseil de sa communauté. Sous l'autorité du Maire, il veille à l'application des lois, des règlements et des décisions des autorités communales.</w:t>
      </w:r>
    </w:p>
    <w:p w:rsidR="001D5B2D" w:rsidRDefault="001D5B2D" w:rsidP="001D5B2D">
      <w:pPr>
        <w:tabs>
          <w:tab w:val="left" w:pos="-2127"/>
        </w:tabs>
        <w:jc w:val="both"/>
        <w:rPr>
          <w:rFonts w:ascii="Arial" w:hAnsi="Arial"/>
        </w:rPr>
      </w:pPr>
      <w:r>
        <w:rPr>
          <w:rFonts w:ascii="Arial" w:hAnsi="Arial"/>
          <w:b/>
        </w:rPr>
        <w:t>Article 64</w:t>
      </w:r>
      <w:r>
        <w:rPr>
          <w:rFonts w:ascii="Arial" w:hAnsi="Arial"/>
        </w:rPr>
        <w:t xml:space="preserve"> : Le chef de village, de fraction et de quartier participent à l'élaboration et à la mise en œuvre des actions de développement en direction de leur communauté.</w:t>
      </w:r>
    </w:p>
    <w:p w:rsidR="001D5B2D" w:rsidRDefault="001D5B2D" w:rsidP="001D5B2D">
      <w:pPr>
        <w:tabs>
          <w:tab w:val="left" w:pos="-2127"/>
        </w:tabs>
        <w:jc w:val="both"/>
        <w:rPr>
          <w:rFonts w:ascii="Arial" w:hAnsi="Arial"/>
        </w:rPr>
      </w:pPr>
      <w:r>
        <w:rPr>
          <w:rFonts w:ascii="Arial" w:hAnsi="Arial"/>
        </w:rPr>
        <w:t>……….</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68</w:t>
      </w:r>
      <w:r>
        <w:rPr>
          <w:rFonts w:ascii="Arial" w:hAnsi="Arial"/>
        </w:rPr>
        <w:t xml:space="preserve"> : Ils sont investis du pouvoir de conciliation en matière civile et commerciale suivant les règles coutumières.</w:t>
      </w:r>
    </w:p>
    <w:p w:rsidR="001D5B2D" w:rsidRDefault="001D5B2D" w:rsidP="001D5B2D">
      <w:pPr>
        <w:tabs>
          <w:tab w:val="left" w:pos="-2127"/>
        </w:tabs>
        <w:jc w:val="both"/>
        <w:rPr>
          <w:rFonts w:ascii="Arial" w:hAnsi="Arial"/>
        </w:rPr>
      </w:pPr>
    </w:p>
    <w:p w:rsidR="001D5B2D" w:rsidRDefault="001D5B2D" w:rsidP="001D5B2D">
      <w:pPr>
        <w:pStyle w:val="Titre2"/>
        <w:tabs>
          <w:tab w:val="left" w:pos="-2127"/>
        </w:tabs>
        <w:rPr>
          <w:rFonts w:ascii="Arial" w:hAnsi="Arial"/>
        </w:rPr>
      </w:pPr>
      <w:r>
        <w:rPr>
          <w:rFonts w:ascii="Arial" w:hAnsi="Arial"/>
        </w:rPr>
        <w:t>SECTION II : DES CONSEILLERS DE VILLAGE, DE FRACTION ET DE QUARTIERS</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70</w:t>
      </w:r>
      <w:r>
        <w:rPr>
          <w:rFonts w:ascii="Arial" w:hAnsi="Arial"/>
        </w:rPr>
        <w:t xml:space="preserve"> : Le Chef de quartier est aidé dans l'exercice de ses fonctions par des conseillers dont le nombre ne peut excéder cinq.</w:t>
      </w:r>
    </w:p>
    <w:p w:rsidR="001D5B2D" w:rsidRDefault="001D5B2D" w:rsidP="001D5B2D">
      <w:pPr>
        <w:tabs>
          <w:tab w:val="left" w:pos="-2127"/>
        </w:tabs>
        <w:jc w:val="both"/>
        <w:rPr>
          <w:rFonts w:ascii="Arial" w:hAnsi="Arial"/>
        </w:rPr>
      </w:pPr>
      <w:r>
        <w:rPr>
          <w:rFonts w:ascii="Arial" w:hAnsi="Arial"/>
        </w:rPr>
        <w:t>……..</w:t>
      </w:r>
    </w:p>
    <w:p w:rsidR="001D5B2D" w:rsidRDefault="001D5B2D" w:rsidP="001D5B2D">
      <w:pPr>
        <w:tabs>
          <w:tab w:val="left" w:pos="-2127"/>
        </w:tabs>
        <w:jc w:val="both"/>
        <w:rPr>
          <w:rFonts w:ascii="Arial" w:hAnsi="Arial"/>
        </w:rPr>
      </w:pPr>
      <w:r>
        <w:rPr>
          <w:rFonts w:ascii="Arial" w:hAnsi="Arial"/>
        </w:rPr>
        <w:t>Le chef de village ou de fraction est assisté dans l'exercice de ses fonctions par un conseil de cinq à sept membres.</w:t>
      </w:r>
    </w:p>
    <w:p w:rsidR="001D5B2D" w:rsidRDefault="001D5B2D" w:rsidP="001D5B2D">
      <w:pPr>
        <w:tabs>
          <w:tab w:val="left" w:pos="-2127"/>
        </w:tabs>
        <w:jc w:val="both"/>
        <w:rPr>
          <w:rFonts w:ascii="Arial" w:hAnsi="Arial"/>
        </w:rPr>
      </w:pPr>
      <w:r>
        <w:rPr>
          <w:rFonts w:ascii="Arial" w:hAnsi="Arial"/>
        </w:rPr>
        <w:t>Les conseillers de village ou de fraction sont élus en assemblée générale des électeurs du village ou de la fraction, présidée par le représentant de l'Etat au niveau de la commune rurale</w:t>
      </w:r>
    </w:p>
    <w:p w:rsidR="001D5B2D" w:rsidRDefault="001D5B2D" w:rsidP="001D5B2D">
      <w:pPr>
        <w:tabs>
          <w:tab w:val="left" w:pos="-2127"/>
        </w:tabs>
        <w:jc w:val="both"/>
        <w:rPr>
          <w:rFonts w:ascii="Arial" w:hAnsi="Arial"/>
        </w:rPr>
      </w:pPr>
    </w:p>
    <w:p w:rsidR="001D5B2D" w:rsidRDefault="001D5B2D" w:rsidP="001D5B2D">
      <w:pPr>
        <w:tabs>
          <w:tab w:val="left" w:pos="-2127"/>
        </w:tabs>
        <w:jc w:val="both"/>
        <w:rPr>
          <w:rFonts w:ascii="Arial" w:hAnsi="Arial"/>
        </w:rPr>
      </w:pPr>
      <w:r>
        <w:rPr>
          <w:rFonts w:ascii="Arial" w:hAnsi="Arial"/>
          <w:b/>
        </w:rPr>
        <w:t>Article 72</w:t>
      </w:r>
      <w:r>
        <w:rPr>
          <w:rFonts w:ascii="Arial" w:hAnsi="Arial"/>
        </w:rPr>
        <w:t xml:space="preserve"> : Les conseillers de village, de fraction et de quartier peuvent formuler des recommandations sur toutes mesures qu'ils jugent utiles de voir mettre en œuvre par le Maire.</w:t>
      </w:r>
    </w:p>
    <w:p w:rsidR="001D5B2D" w:rsidRDefault="001D5B2D" w:rsidP="001D5B2D">
      <w:pPr>
        <w:tabs>
          <w:tab w:val="left" w:pos="-2127"/>
        </w:tabs>
        <w:jc w:val="both"/>
        <w:rPr>
          <w:rFonts w:ascii="Arial" w:hAnsi="Arial"/>
        </w:rPr>
      </w:pPr>
      <w:r>
        <w:rPr>
          <w:rFonts w:ascii="Arial" w:hAnsi="Arial"/>
        </w:rPr>
        <w:t>Ils donnent leur avis toutes les fois qu'il est requis par les lois et règlements ou qu'il est demandé par l'autorité administrative</w:t>
      </w:r>
    </w:p>
    <w:p w:rsidR="001D5B2D" w:rsidRDefault="001D5B2D" w:rsidP="001D5B2D">
      <w:pPr>
        <w:tabs>
          <w:tab w:val="left" w:pos="-2127"/>
        </w:tabs>
        <w:jc w:val="both"/>
        <w:rPr>
          <w:rFonts w:ascii="Arial" w:hAnsi="Arial"/>
        </w:rPr>
      </w:pPr>
      <w:r>
        <w:rPr>
          <w:rFonts w:ascii="Arial" w:hAnsi="Arial"/>
        </w:rPr>
        <w:t>Ils sont obligatoirement consultés sur :</w:t>
      </w:r>
    </w:p>
    <w:p w:rsidR="001D5B2D" w:rsidRDefault="001D5B2D" w:rsidP="001D5B2D">
      <w:pPr>
        <w:numPr>
          <w:ilvl w:val="0"/>
          <w:numId w:val="2"/>
        </w:numPr>
        <w:tabs>
          <w:tab w:val="left" w:pos="-2127"/>
        </w:tabs>
        <w:jc w:val="both"/>
        <w:rPr>
          <w:rFonts w:ascii="Arial" w:hAnsi="Arial"/>
        </w:rPr>
      </w:pPr>
      <w:r>
        <w:rPr>
          <w:rFonts w:ascii="Arial" w:hAnsi="Arial"/>
        </w:rPr>
        <w:t>l'organisation des activités agricoles, pastorales, sylvicoles, halieutiques et cynégétiques;</w:t>
      </w:r>
    </w:p>
    <w:p w:rsidR="001D5B2D" w:rsidRDefault="001D5B2D" w:rsidP="001D5B2D">
      <w:pPr>
        <w:numPr>
          <w:ilvl w:val="0"/>
          <w:numId w:val="2"/>
        </w:numPr>
        <w:tabs>
          <w:tab w:val="left" w:pos="-2127"/>
        </w:tabs>
        <w:jc w:val="both"/>
        <w:rPr>
          <w:rFonts w:ascii="Arial" w:hAnsi="Arial"/>
        </w:rPr>
      </w:pPr>
      <w:r>
        <w:rPr>
          <w:rFonts w:ascii="Arial" w:hAnsi="Arial"/>
        </w:rPr>
        <w:t>l'implantation et la gestion des équipements collectifs</w:t>
      </w:r>
    </w:p>
    <w:p w:rsidR="001D5B2D" w:rsidRDefault="001D5B2D" w:rsidP="001D5B2D">
      <w:pPr>
        <w:numPr>
          <w:ilvl w:val="0"/>
          <w:numId w:val="2"/>
        </w:numPr>
        <w:tabs>
          <w:tab w:val="left" w:pos="-2127"/>
        </w:tabs>
        <w:jc w:val="both"/>
        <w:rPr>
          <w:rFonts w:ascii="Arial" w:hAnsi="Arial"/>
        </w:rPr>
      </w:pPr>
      <w:r>
        <w:rPr>
          <w:rFonts w:ascii="Arial" w:hAnsi="Arial"/>
        </w:rPr>
        <w:t>l'élaboration et la mise en œuvre des schémas d'aménagements et des plans d'occupation du sol;</w:t>
      </w:r>
    </w:p>
    <w:p w:rsidR="001D5B2D" w:rsidRDefault="001D5B2D" w:rsidP="001D5B2D">
      <w:pPr>
        <w:numPr>
          <w:ilvl w:val="0"/>
          <w:numId w:val="2"/>
        </w:numPr>
        <w:tabs>
          <w:tab w:val="left" w:pos="-2127"/>
        </w:tabs>
        <w:jc w:val="both"/>
        <w:rPr>
          <w:rFonts w:ascii="Arial" w:hAnsi="Arial"/>
        </w:rPr>
      </w:pPr>
      <w:r>
        <w:rPr>
          <w:rFonts w:ascii="Arial" w:hAnsi="Arial"/>
        </w:rPr>
        <w:t>la protection de l'environnement et la gestion des ressources naturelles</w:t>
      </w:r>
    </w:p>
    <w:p w:rsidR="001D5B2D" w:rsidRDefault="001D5B2D" w:rsidP="001D5B2D">
      <w:pPr>
        <w:numPr>
          <w:ilvl w:val="0"/>
          <w:numId w:val="2"/>
        </w:numPr>
        <w:tabs>
          <w:tab w:val="left" w:pos="-2127"/>
        </w:tabs>
        <w:jc w:val="both"/>
        <w:rPr>
          <w:rFonts w:ascii="Arial" w:hAnsi="Arial"/>
        </w:rPr>
      </w:pPr>
      <w:r>
        <w:rPr>
          <w:rFonts w:ascii="Arial" w:hAnsi="Arial"/>
        </w:rPr>
        <w:t>les litiges domaniaux et fonciers;</w:t>
      </w:r>
    </w:p>
    <w:p w:rsidR="001D5B2D" w:rsidRDefault="001D5B2D" w:rsidP="001D5B2D">
      <w:pPr>
        <w:numPr>
          <w:ilvl w:val="0"/>
          <w:numId w:val="2"/>
        </w:numPr>
        <w:tabs>
          <w:tab w:val="left" w:pos="-2127"/>
        </w:tabs>
        <w:jc w:val="both"/>
        <w:rPr>
          <w:rFonts w:ascii="Arial" w:hAnsi="Arial"/>
        </w:rPr>
      </w:pPr>
      <w:r>
        <w:rPr>
          <w:rFonts w:ascii="Arial" w:hAnsi="Arial"/>
        </w:rPr>
        <w:t>la partie du programme de développement concernant leur village, fraction et quartier.</w:t>
      </w:r>
    </w:p>
    <w:p w:rsidR="001D5B2D" w:rsidRDefault="001D5B2D" w:rsidP="001D5B2D">
      <w:pPr>
        <w:pStyle w:val="TAB"/>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rPr>
          <w:b/>
        </w:rPr>
      </w:pPr>
    </w:p>
    <w:p w:rsidR="001D5B2D" w:rsidRDefault="001D5B2D" w:rsidP="001D5B2D">
      <w:pPr>
        <w:pStyle w:val="annexe"/>
      </w:pPr>
      <w:r>
        <w:t>ANNEXE N° 3 : Extraits du Projet de loi sur le code domanial et foncier</w:t>
      </w:r>
    </w:p>
    <w:p w:rsidR="001D5B2D" w:rsidRDefault="001D5B2D" w:rsidP="001D5B2D">
      <w:pPr>
        <w:pStyle w:val="normarial"/>
      </w:pPr>
    </w:p>
    <w:p w:rsidR="001D5B2D" w:rsidRDefault="001D5B2D" w:rsidP="001D5B2D">
      <w:pPr>
        <w:pStyle w:val="normarial"/>
      </w:pPr>
    </w:p>
    <w:p w:rsidR="001D5B2D" w:rsidRDefault="001D5B2D" w:rsidP="001D5B2D">
      <w:pPr>
        <w:pStyle w:val="normarial"/>
        <w:jc w:val="center"/>
        <w:rPr>
          <w:sz w:val="28"/>
        </w:rPr>
      </w:pPr>
      <w:r>
        <w:rPr>
          <w:sz w:val="28"/>
        </w:rPr>
        <w:t>PROJET DE LOI PORTANT CODE DOMANIAL ET FONCIER</w:t>
      </w:r>
    </w:p>
    <w:p w:rsidR="001D5B2D" w:rsidRDefault="001D5B2D" w:rsidP="001D5B2D">
      <w:pPr>
        <w:jc w:val="center"/>
        <w:rPr>
          <w:rFonts w:ascii="Arial" w:hAnsi="Arial"/>
          <w:b/>
        </w:rPr>
      </w:pPr>
      <w:r>
        <w:rPr>
          <w:rFonts w:ascii="Arial" w:hAnsi="Arial"/>
          <w:b/>
        </w:rPr>
        <w:t>(Projet voté par l'Assemblée Nationale en février 2000)</w:t>
      </w:r>
    </w:p>
    <w:p w:rsidR="001D5B2D" w:rsidRDefault="001D5B2D" w:rsidP="001D5B2D">
      <w:pPr>
        <w:jc w:val="both"/>
        <w:rPr>
          <w:rFonts w:ascii="Arial" w:hAnsi="Arial"/>
        </w:rPr>
      </w:pPr>
    </w:p>
    <w:p w:rsidR="001D5B2D" w:rsidRDefault="001D5B2D" w:rsidP="001D5B2D">
      <w:pPr>
        <w:pStyle w:val="PIF2"/>
      </w:pPr>
      <w:r>
        <w:t>TITRE I   – DU DOMAINE NATIONAL</w:t>
      </w:r>
    </w:p>
    <w:p w:rsidR="001D5B2D" w:rsidRDefault="001D5B2D" w:rsidP="001D5B2D">
      <w:pPr>
        <w:jc w:val="both"/>
        <w:rPr>
          <w:rFonts w:ascii="Arial" w:hAnsi="Arial"/>
        </w:rPr>
      </w:pPr>
      <w:r>
        <w:rPr>
          <w:rFonts w:ascii="Arial" w:hAnsi="Arial"/>
        </w:rPr>
        <w:t>Article 1</w:t>
      </w:r>
      <w:r>
        <w:rPr>
          <w:rFonts w:ascii="Arial" w:hAnsi="Arial"/>
          <w:vertAlign w:val="superscript"/>
        </w:rPr>
        <w:t>er</w:t>
      </w:r>
      <w:r>
        <w:rPr>
          <w:rFonts w:ascii="Arial" w:hAnsi="Arial"/>
        </w:rPr>
        <w:t xml:space="preserve"> . – Le domaine national du Mali, qui englobe l'espace aérien, le sol et le sous-sol du territoire national, comprend :</w:t>
      </w:r>
    </w:p>
    <w:p w:rsidR="001D5B2D" w:rsidRDefault="001D5B2D" w:rsidP="001D5B2D">
      <w:pPr>
        <w:jc w:val="both"/>
        <w:rPr>
          <w:rFonts w:ascii="Arial" w:hAnsi="Arial"/>
        </w:rPr>
      </w:pPr>
      <w:r>
        <w:rPr>
          <w:rFonts w:ascii="Arial" w:hAnsi="Arial"/>
        </w:rPr>
        <w:tab/>
        <w:t>a) les domaines public et privé de l'Etat du Mali :</w:t>
      </w:r>
    </w:p>
    <w:p w:rsidR="001D5B2D" w:rsidRDefault="001D5B2D" w:rsidP="001D5B2D">
      <w:pPr>
        <w:jc w:val="both"/>
        <w:rPr>
          <w:rFonts w:ascii="Arial" w:hAnsi="Arial"/>
        </w:rPr>
      </w:pPr>
      <w:r>
        <w:rPr>
          <w:rFonts w:ascii="Arial" w:hAnsi="Arial"/>
        </w:rPr>
        <w:tab/>
        <w:t>b) les domaines public et privé des collectivités territoriales :</w:t>
      </w:r>
    </w:p>
    <w:p w:rsidR="001D5B2D" w:rsidRDefault="001D5B2D" w:rsidP="001D5B2D">
      <w:pPr>
        <w:jc w:val="both"/>
        <w:rPr>
          <w:rFonts w:ascii="Arial" w:hAnsi="Arial"/>
        </w:rPr>
      </w:pPr>
      <w:r>
        <w:rPr>
          <w:rFonts w:ascii="Arial" w:hAnsi="Arial"/>
        </w:rPr>
        <w:tab/>
        <w:t>c) le patrimoine foncier des autres personnes, physiques ou morales.</w:t>
      </w:r>
    </w:p>
    <w:p w:rsidR="001D5B2D" w:rsidRDefault="001D5B2D" w:rsidP="001D5B2D">
      <w:pPr>
        <w:jc w:val="both"/>
        <w:rPr>
          <w:rFonts w:ascii="Arial" w:hAnsi="Arial"/>
        </w:rPr>
      </w:pPr>
    </w:p>
    <w:p w:rsidR="001D5B2D" w:rsidRDefault="001D5B2D" w:rsidP="001D5B2D">
      <w:pPr>
        <w:pStyle w:val="PIF2"/>
      </w:pPr>
      <w:r>
        <w:t>TITRE II  – DU DOMAINE PUBLIC IMMOBILIER DE L'ETAT</w:t>
      </w:r>
    </w:p>
    <w:p w:rsidR="001D5B2D" w:rsidRDefault="001D5B2D" w:rsidP="001D5B2D">
      <w:pPr>
        <w:jc w:val="both"/>
        <w:rPr>
          <w:rFonts w:ascii="Arial" w:hAnsi="Arial"/>
          <w:b/>
          <w:i/>
        </w:rPr>
      </w:pPr>
      <w:r>
        <w:rPr>
          <w:rFonts w:ascii="Arial" w:hAnsi="Arial"/>
          <w:b/>
          <w:i/>
          <w:u w:val="single"/>
        </w:rPr>
        <w:t>CHAPITRE I</w:t>
      </w:r>
      <w:r>
        <w:rPr>
          <w:rFonts w:ascii="Arial" w:hAnsi="Arial"/>
          <w:b/>
          <w:i/>
        </w:rPr>
        <w:t xml:space="preserve"> – DE LA CONSISTANCE DU DOMMAINE PUBLIC IMMOBILIER</w:t>
      </w:r>
    </w:p>
    <w:p w:rsidR="001D5B2D" w:rsidRDefault="001D5B2D" w:rsidP="001D5B2D">
      <w:pPr>
        <w:jc w:val="both"/>
        <w:rPr>
          <w:rFonts w:ascii="Arial" w:hAnsi="Arial"/>
        </w:rPr>
      </w:pPr>
      <w:r>
        <w:rPr>
          <w:rFonts w:ascii="Arial" w:hAnsi="Arial"/>
          <w:u w:val="single"/>
        </w:rPr>
        <w:t>Article 7</w:t>
      </w:r>
      <w:r>
        <w:rPr>
          <w:rFonts w:ascii="Arial" w:hAnsi="Arial"/>
        </w:rPr>
        <w:t xml:space="preserve"> . – Le domaine public naturel comprend les sites naturels déterminés par la loi. En font partie :</w:t>
      </w:r>
    </w:p>
    <w:p w:rsidR="001D5B2D" w:rsidRDefault="001D5B2D" w:rsidP="001D5B2D">
      <w:pPr>
        <w:jc w:val="both"/>
        <w:rPr>
          <w:rFonts w:ascii="Arial" w:hAnsi="Arial"/>
        </w:rPr>
      </w:pPr>
      <w:r>
        <w:rPr>
          <w:rFonts w:ascii="Arial" w:hAnsi="Arial"/>
        </w:rPr>
        <w:tab/>
        <w:t>a) l'espace aérien</w:t>
      </w:r>
    </w:p>
    <w:p w:rsidR="001D5B2D" w:rsidRDefault="001D5B2D" w:rsidP="001D5B2D">
      <w:pPr>
        <w:jc w:val="both"/>
        <w:rPr>
          <w:rFonts w:ascii="Arial" w:hAnsi="Arial"/>
        </w:rPr>
      </w:pPr>
      <w:r>
        <w:rPr>
          <w:rFonts w:ascii="Arial" w:hAnsi="Arial"/>
        </w:rPr>
        <w:tab/>
        <w:t>b) les cours d'eau navigables ou flottables dans les limites déterminées par la hauteur des eaux coulant à pleins bords avant de déborder, ainsi qu'une zone de passage de 25 m de large à partir de ces limites sur chaque rive et sur les bords des îles.</w:t>
      </w:r>
    </w:p>
    <w:p w:rsidR="001D5B2D" w:rsidRDefault="001D5B2D" w:rsidP="001D5B2D">
      <w:pPr>
        <w:jc w:val="both"/>
        <w:rPr>
          <w:rFonts w:ascii="Arial" w:hAnsi="Arial"/>
        </w:rPr>
      </w:pPr>
      <w:r>
        <w:rPr>
          <w:rFonts w:ascii="Arial" w:hAnsi="Arial"/>
        </w:rPr>
        <w:tab/>
        <w:t>c) les sources et cours d'eau non navigables ni flottables dans les limites des eaux coulant à plein bords avant de déborder :</w:t>
      </w:r>
    </w:p>
    <w:p w:rsidR="001D5B2D" w:rsidRDefault="001D5B2D" w:rsidP="001D5B2D">
      <w:pPr>
        <w:jc w:val="both"/>
        <w:rPr>
          <w:rFonts w:ascii="Arial" w:hAnsi="Arial"/>
        </w:rPr>
      </w:pPr>
      <w:r>
        <w:rPr>
          <w:rFonts w:ascii="Arial" w:hAnsi="Arial"/>
        </w:rPr>
        <w:tab/>
        <w:t>d) les lacs et étangs dans les limites déterminées par le niveau des plus hautes eaux avant débordement, avec une zone de passage de 25 m de large à partir de ces limites sur chaque rive extérieure ou sur chacun des bords des îles :</w:t>
      </w:r>
    </w:p>
    <w:p w:rsidR="001D5B2D" w:rsidRDefault="001D5B2D" w:rsidP="001D5B2D">
      <w:pPr>
        <w:jc w:val="both"/>
        <w:rPr>
          <w:rFonts w:ascii="Arial" w:hAnsi="Arial"/>
        </w:rPr>
      </w:pPr>
      <w:r>
        <w:rPr>
          <w:rFonts w:ascii="Arial" w:hAnsi="Arial"/>
        </w:rPr>
        <w:tab/>
        <w:t>e) les nappes d'eau souterraines, quelles que soient leur provenance, leur nature et leur profondeur.</w:t>
      </w:r>
    </w:p>
    <w:p w:rsidR="001D5B2D" w:rsidRDefault="001D5B2D" w:rsidP="001D5B2D">
      <w:pPr>
        <w:jc w:val="both"/>
        <w:rPr>
          <w:rFonts w:ascii="Arial" w:hAnsi="Arial"/>
        </w:rPr>
      </w:pPr>
    </w:p>
    <w:p w:rsidR="001D5B2D" w:rsidRDefault="001D5B2D" w:rsidP="001D5B2D">
      <w:pPr>
        <w:jc w:val="both"/>
        <w:rPr>
          <w:rFonts w:ascii="Arial" w:hAnsi="Arial"/>
          <w:b/>
        </w:rPr>
      </w:pPr>
      <w:r>
        <w:rPr>
          <w:rFonts w:ascii="Arial" w:hAnsi="Arial"/>
          <w:b/>
        </w:rPr>
        <w:t>TITRE III - DU DOMAINE PRIVE IMMOBILIER DE L' ETAT</w:t>
      </w:r>
    </w:p>
    <w:p w:rsidR="001D5B2D" w:rsidRDefault="001D5B2D" w:rsidP="001D5B2D">
      <w:pPr>
        <w:jc w:val="both"/>
        <w:rPr>
          <w:rFonts w:ascii="Arial" w:hAnsi="Arial"/>
          <w:b/>
        </w:rPr>
      </w:pPr>
    </w:p>
    <w:p w:rsidR="001D5B2D" w:rsidRDefault="001D5B2D" w:rsidP="001D5B2D">
      <w:pPr>
        <w:jc w:val="both"/>
        <w:rPr>
          <w:rFonts w:ascii="Arial" w:hAnsi="Arial"/>
          <w:b/>
          <w:i/>
        </w:rPr>
      </w:pPr>
      <w:r>
        <w:rPr>
          <w:rFonts w:ascii="Arial" w:hAnsi="Arial"/>
          <w:b/>
          <w:i/>
          <w:u w:val="single"/>
        </w:rPr>
        <w:t>CHAPITRE I</w:t>
      </w:r>
      <w:r>
        <w:rPr>
          <w:rFonts w:ascii="Arial" w:hAnsi="Arial"/>
          <w:b/>
          <w:i/>
        </w:rPr>
        <w:t xml:space="preserve"> : DE LA COMPOSITION DU DOMAINE PRIVE IMMOBILIER DE L'ETAT</w:t>
      </w:r>
    </w:p>
    <w:p w:rsidR="001D5B2D" w:rsidRDefault="001D5B2D" w:rsidP="001D5B2D">
      <w:pPr>
        <w:jc w:val="both"/>
        <w:rPr>
          <w:rFonts w:ascii="Arial" w:hAnsi="Arial"/>
        </w:rPr>
      </w:pPr>
      <w:r>
        <w:rPr>
          <w:rFonts w:ascii="Arial" w:hAnsi="Arial"/>
          <w:u w:val="single"/>
        </w:rPr>
        <w:t>Article 28</w:t>
      </w:r>
      <w:r>
        <w:rPr>
          <w:rFonts w:ascii="Arial" w:hAnsi="Arial"/>
        </w:rPr>
        <w:t xml:space="preserve">. – Font partie du domaine privé immobilier de l'Etat : </w:t>
      </w:r>
    </w:p>
    <w:p w:rsidR="001D5B2D" w:rsidRDefault="001D5B2D" w:rsidP="001D5B2D">
      <w:pPr>
        <w:numPr>
          <w:ilvl w:val="0"/>
          <w:numId w:val="3"/>
        </w:numPr>
        <w:jc w:val="both"/>
        <w:rPr>
          <w:rFonts w:ascii="Arial" w:hAnsi="Arial"/>
        </w:rPr>
      </w:pPr>
      <w:r>
        <w:rPr>
          <w:rFonts w:ascii="Arial" w:hAnsi="Arial"/>
        </w:rPr>
        <w:t>Les terres faisant l'objet de titre foncier et les droits réels immobiliers établis ou transférés au nom de l'Etat à la suite de :</w:t>
      </w:r>
    </w:p>
    <w:p w:rsidR="001D5B2D" w:rsidRDefault="001D5B2D" w:rsidP="001D5B2D">
      <w:pPr>
        <w:numPr>
          <w:ilvl w:val="0"/>
          <w:numId w:val="4"/>
        </w:numPr>
        <w:jc w:val="both"/>
        <w:rPr>
          <w:rFonts w:ascii="Arial" w:hAnsi="Arial"/>
        </w:rPr>
      </w:pPr>
      <w:r>
        <w:rPr>
          <w:rFonts w:ascii="Arial" w:hAnsi="Arial"/>
        </w:rPr>
        <w:t>une procédure d'immatriculation</w:t>
      </w:r>
    </w:p>
    <w:p w:rsidR="001D5B2D" w:rsidRDefault="001D5B2D" w:rsidP="001D5B2D">
      <w:pPr>
        <w:numPr>
          <w:ilvl w:val="0"/>
          <w:numId w:val="4"/>
        </w:numPr>
        <w:jc w:val="both"/>
        <w:rPr>
          <w:rFonts w:ascii="Arial" w:hAnsi="Arial"/>
        </w:rPr>
      </w:pPr>
      <w:r>
        <w:rPr>
          <w:rFonts w:ascii="Arial" w:hAnsi="Arial"/>
        </w:rPr>
        <w:t>une acquisition</w:t>
      </w:r>
    </w:p>
    <w:p w:rsidR="001D5B2D" w:rsidRDefault="001D5B2D" w:rsidP="001D5B2D">
      <w:pPr>
        <w:numPr>
          <w:ilvl w:val="0"/>
          <w:numId w:val="4"/>
        </w:numPr>
        <w:jc w:val="both"/>
        <w:rPr>
          <w:rFonts w:ascii="Arial" w:hAnsi="Arial"/>
        </w:rPr>
      </w:pPr>
      <w:r>
        <w:rPr>
          <w:rFonts w:ascii="Arial" w:hAnsi="Arial"/>
        </w:rPr>
        <w:t>une succession en déshérence</w:t>
      </w:r>
    </w:p>
    <w:p w:rsidR="001D5B2D" w:rsidRDefault="001D5B2D" w:rsidP="001D5B2D">
      <w:pPr>
        <w:numPr>
          <w:ilvl w:val="0"/>
          <w:numId w:val="4"/>
        </w:numPr>
        <w:jc w:val="both"/>
        <w:rPr>
          <w:rFonts w:ascii="Arial" w:hAnsi="Arial"/>
        </w:rPr>
      </w:pPr>
      <w:r>
        <w:rPr>
          <w:rFonts w:ascii="Arial" w:hAnsi="Arial"/>
        </w:rPr>
        <w:t>une confiscation</w:t>
      </w:r>
    </w:p>
    <w:p w:rsidR="001D5B2D" w:rsidRDefault="001D5B2D" w:rsidP="001D5B2D">
      <w:pPr>
        <w:numPr>
          <w:ilvl w:val="0"/>
          <w:numId w:val="4"/>
        </w:numPr>
        <w:jc w:val="both"/>
        <w:rPr>
          <w:rFonts w:ascii="Arial" w:hAnsi="Arial"/>
        </w:rPr>
      </w:pPr>
      <w:r>
        <w:rPr>
          <w:rFonts w:ascii="Arial" w:hAnsi="Arial"/>
        </w:rPr>
        <w:t>l'exercice d'un droit de reprise</w:t>
      </w:r>
    </w:p>
    <w:p w:rsidR="001D5B2D" w:rsidRDefault="001D5B2D" w:rsidP="001D5B2D">
      <w:pPr>
        <w:numPr>
          <w:ilvl w:val="0"/>
          <w:numId w:val="4"/>
        </w:numPr>
        <w:jc w:val="both"/>
        <w:rPr>
          <w:rFonts w:ascii="Arial" w:hAnsi="Arial"/>
        </w:rPr>
      </w:pPr>
      <w:r>
        <w:rPr>
          <w:rFonts w:ascii="Arial" w:hAnsi="Arial"/>
        </w:rPr>
        <w:t>tout autre mode de transfert</w:t>
      </w:r>
    </w:p>
    <w:p w:rsidR="001D5B2D" w:rsidRDefault="001D5B2D" w:rsidP="001D5B2D">
      <w:pPr>
        <w:numPr>
          <w:ilvl w:val="0"/>
          <w:numId w:val="3"/>
        </w:numPr>
        <w:jc w:val="both"/>
        <w:rPr>
          <w:rFonts w:ascii="Arial" w:hAnsi="Arial"/>
        </w:rPr>
      </w:pPr>
      <w:r>
        <w:rPr>
          <w:rFonts w:ascii="Arial" w:hAnsi="Arial"/>
        </w:rPr>
        <w:t>Les terres non immatriculées y compris :</w:t>
      </w:r>
    </w:p>
    <w:p w:rsidR="001D5B2D" w:rsidRDefault="001D5B2D" w:rsidP="001D5B2D">
      <w:pPr>
        <w:numPr>
          <w:ilvl w:val="0"/>
          <w:numId w:val="4"/>
        </w:numPr>
        <w:jc w:val="both"/>
        <w:rPr>
          <w:rFonts w:ascii="Arial" w:hAnsi="Arial"/>
        </w:rPr>
      </w:pPr>
      <w:r>
        <w:rPr>
          <w:rFonts w:ascii="Arial" w:hAnsi="Arial"/>
        </w:rPr>
        <w:t>celles vacantes et sans maîtres sur lesquelles ne s'exerce aucun droit d'usage ni de disposition, que ce soit en vertu des règles de droit écrit ou de celles des droits fonciers coutumiers;</w:t>
      </w:r>
    </w:p>
    <w:p w:rsidR="001D5B2D" w:rsidRDefault="001D5B2D" w:rsidP="001D5B2D">
      <w:pPr>
        <w:numPr>
          <w:ilvl w:val="0"/>
          <w:numId w:val="4"/>
        </w:numPr>
        <w:jc w:val="both"/>
        <w:rPr>
          <w:rFonts w:ascii="Arial" w:hAnsi="Arial"/>
        </w:rPr>
      </w:pPr>
      <w:r>
        <w:rPr>
          <w:rFonts w:ascii="Arial" w:hAnsi="Arial"/>
        </w:rPr>
        <w:t>celle sur lesquelles s'exercent des droits fonciers coutumiers d'usage ou de disposition, que ce soit à titre collectif ou individuel;</w:t>
      </w:r>
    </w:p>
    <w:p w:rsidR="001D5B2D" w:rsidRDefault="001D5B2D" w:rsidP="001D5B2D">
      <w:pPr>
        <w:numPr>
          <w:ilvl w:val="0"/>
          <w:numId w:val="4"/>
        </w:numPr>
        <w:jc w:val="both"/>
        <w:rPr>
          <w:rFonts w:ascii="Arial" w:hAnsi="Arial"/>
        </w:rPr>
      </w:pPr>
      <w:r>
        <w:rPr>
          <w:rFonts w:ascii="Arial" w:hAnsi="Arial"/>
        </w:rPr>
        <w:t>celles sur lesquelles s'exercent des droits d'usage ou de disposition en vertu des règles de droit écrit.</w:t>
      </w:r>
    </w:p>
    <w:p w:rsidR="001D5B2D" w:rsidRDefault="001D5B2D" w:rsidP="001D5B2D">
      <w:pPr>
        <w:numPr>
          <w:ilvl w:val="0"/>
          <w:numId w:val="3"/>
        </w:numPr>
        <w:jc w:val="both"/>
        <w:rPr>
          <w:rFonts w:ascii="Arial" w:hAnsi="Arial"/>
        </w:rPr>
      </w:pPr>
      <w:r>
        <w:rPr>
          <w:rFonts w:ascii="Arial" w:hAnsi="Arial"/>
        </w:rPr>
        <w:t>Les dépendances du domaine forestier pastoral ou minier. Ces biens sont toutefois inaliénables lorsqu'il font l'objet d'un classement.</w:t>
      </w:r>
    </w:p>
    <w:p w:rsidR="001D5B2D" w:rsidRDefault="001D5B2D" w:rsidP="001D5B2D">
      <w:pPr>
        <w:jc w:val="both"/>
        <w:rPr>
          <w:rFonts w:ascii="Arial" w:hAnsi="Arial"/>
        </w:rPr>
      </w:pPr>
    </w:p>
    <w:p w:rsidR="001D5B2D" w:rsidRDefault="001D5B2D" w:rsidP="001D5B2D">
      <w:pPr>
        <w:keepNext/>
        <w:jc w:val="both"/>
        <w:rPr>
          <w:rFonts w:ascii="Arial" w:hAnsi="Arial"/>
        </w:rPr>
      </w:pPr>
      <w:r>
        <w:rPr>
          <w:rFonts w:ascii="Arial" w:hAnsi="Arial"/>
          <w:u w:val="single"/>
        </w:rPr>
        <w:t>Article 29</w:t>
      </w:r>
      <w:r>
        <w:rPr>
          <w:rFonts w:ascii="Arial" w:hAnsi="Arial"/>
        </w:rPr>
        <w:t xml:space="preserve">. – A moins de dispositions contractuelles contraires, les terrains domaniaux appropriés qui supportent des édifices, ouvrages ou aménagements entretenus au frais du budget d'une collectivité </w:t>
      </w:r>
      <w:r>
        <w:rPr>
          <w:rFonts w:ascii="Arial" w:hAnsi="Arial"/>
        </w:rPr>
        <w:lastRenderedPageBreak/>
        <w:t>territoriale ainsi qu'éventuellement les immeubles bâtis, que ces terrains supportent sont attribués au domaine privé de cette collectivité…..</w:t>
      </w:r>
    </w:p>
    <w:p w:rsidR="001D5B2D" w:rsidRDefault="001D5B2D" w:rsidP="001D5B2D">
      <w:pPr>
        <w:jc w:val="both"/>
        <w:rPr>
          <w:rFonts w:ascii="Arial" w:hAnsi="Arial"/>
        </w:rPr>
      </w:pPr>
    </w:p>
    <w:p w:rsidR="001D5B2D" w:rsidRDefault="001D5B2D" w:rsidP="001D5B2D">
      <w:pPr>
        <w:jc w:val="both"/>
        <w:rPr>
          <w:rFonts w:ascii="Arial" w:hAnsi="Arial"/>
        </w:rPr>
      </w:pPr>
    </w:p>
    <w:p w:rsidR="001D5B2D" w:rsidRDefault="001D5B2D" w:rsidP="001D5B2D">
      <w:pPr>
        <w:jc w:val="both"/>
        <w:rPr>
          <w:rFonts w:ascii="Arial" w:hAnsi="Arial"/>
          <w:b/>
          <w:i/>
        </w:rPr>
      </w:pPr>
      <w:r>
        <w:rPr>
          <w:rFonts w:ascii="Arial" w:hAnsi="Arial"/>
          <w:b/>
          <w:i/>
          <w:u w:val="single"/>
        </w:rPr>
        <w:t>CHAPITRE III</w:t>
      </w:r>
      <w:r>
        <w:rPr>
          <w:rFonts w:ascii="Arial" w:hAnsi="Arial"/>
          <w:b/>
          <w:i/>
        </w:rPr>
        <w:t xml:space="preserve"> : DES DROITS FONCIERS COUTUMIERS</w:t>
      </w:r>
    </w:p>
    <w:p w:rsidR="001D5B2D" w:rsidRDefault="001D5B2D" w:rsidP="001D5B2D">
      <w:pPr>
        <w:jc w:val="both"/>
        <w:rPr>
          <w:rFonts w:ascii="Arial" w:hAnsi="Arial"/>
          <w:i/>
        </w:rPr>
      </w:pPr>
    </w:p>
    <w:p w:rsidR="001D5B2D" w:rsidRDefault="001D5B2D" w:rsidP="001D5B2D">
      <w:pPr>
        <w:jc w:val="both"/>
        <w:rPr>
          <w:rFonts w:ascii="Arial" w:hAnsi="Arial"/>
        </w:rPr>
      </w:pPr>
      <w:r>
        <w:rPr>
          <w:rFonts w:ascii="Arial" w:hAnsi="Arial"/>
          <w:u w:val="single"/>
        </w:rPr>
        <w:t>SECTION I</w:t>
      </w:r>
      <w:r>
        <w:rPr>
          <w:rFonts w:ascii="Arial" w:hAnsi="Arial"/>
        </w:rPr>
        <w:t xml:space="preserve"> : DE LA CONFIRMATION ET DE LA CONSTATATION DES DROITS FONCIERS COUTUMIERS</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u w:val="single"/>
        </w:rPr>
        <w:t>Article 43</w:t>
      </w:r>
      <w:r>
        <w:rPr>
          <w:rFonts w:ascii="Arial" w:hAnsi="Arial"/>
        </w:rPr>
        <w:t>. – Les droits coutumiers exercés collectivement ou individuellement sur les terres non immatriculées sont confirmés</w:t>
      </w:r>
    </w:p>
    <w:p w:rsidR="001D5B2D" w:rsidRDefault="001D5B2D" w:rsidP="001D5B2D">
      <w:pPr>
        <w:jc w:val="both"/>
        <w:rPr>
          <w:rFonts w:ascii="Arial" w:hAnsi="Arial"/>
        </w:rPr>
      </w:pPr>
      <w:r>
        <w:rPr>
          <w:rFonts w:ascii="Arial" w:hAnsi="Arial"/>
        </w:rPr>
        <w:t>Nul individu, nulle collectivité, ne peut être contraint de céder ses droits si ce n'est pour cause d'utilité publique et moyennant une juste et préalable indemnisation. Nul ne peut en faire un usage prohibé par les lois ou les règlements.</w:t>
      </w:r>
    </w:p>
    <w:p w:rsidR="001D5B2D" w:rsidRDefault="001D5B2D" w:rsidP="001D5B2D">
      <w:pPr>
        <w:jc w:val="both"/>
        <w:rPr>
          <w:rFonts w:ascii="Arial" w:hAnsi="Arial"/>
        </w:rPr>
      </w:pPr>
      <w:r>
        <w:rPr>
          <w:rFonts w:ascii="Arial" w:hAnsi="Arial"/>
          <w:u w:val="single"/>
        </w:rPr>
        <w:t>Article 44.</w:t>
      </w:r>
      <w:r>
        <w:rPr>
          <w:rFonts w:ascii="Arial" w:hAnsi="Arial"/>
        </w:rPr>
        <w:t xml:space="preserve"> – Les droits coutumiers susvisés peuvent faire l'objet d'une enquête publique et contradictoire donnant lieu à la délivrance d'un titre opposable aux tiers qui constate l'existence et l'étendue de ces droits.</w:t>
      </w:r>
    </w:p>
    <w:p w:rsidR="001D5B2D" w:rsidRDefault="001D5B2D" w:rsidP="001D5B2D">
      <w:pPr>
        <w:jc w:val="both"/>
        <w:rPr>
          <w:rFonts w:ascii="Arial" w:hAnsi="Arial"/>
        </w:rPr>
      </w:pPr>
      <w:r>
        <w:rPr>
          <w:rFonts w:ascii="Arial" w:hAnsi="Arial"/>
        </w:rPr>
        <w:t>Les formes et conditions de ladite procédure sont fixées par décret pris en Conseil des Ministres.</w:t>
      </w:r>
    </w:p>
    <w:p w:rsidR="001D5B2D" w:rsidRDefault="001D5B2D" w:rsidP="001D5B2D">
      <w:pPr>
        <w:jc w:val="both"/>
        <w:rPr>
          <w:rFonts w:ascii="Arial" w:hAnsi="Arial"/>
        </w:rPr>
      </w:pPr>
      <w:r>
        <w:rPr>
          <w:rFonts w:ascii="Arial" w:hAnsi="Arial"/>
        </w:rPr>
        <w:t>Cette procédure se déroule devant une commission de conciliation dont la composition, les attributions et les modalités de fonctionnement sont fixées par décret pris en Conseil des  Ministres. Il peut être formé recours contre la décision de cette commission de conciliation devant le tribunal civil compétent.</w:t>
      </w:r>
    </w:p>
    <w:p w:rsidR="001D5B2D" w:rsidRDefault="001D5B2D" w:rsidP="001D5B2D">
      <w:pPr>
        <w:jc w:val="both"/>
        <w:rPr>
          <w:rFonts w:ascii="Arial" w:hAnsi="Arial"/>
        </w:rPr>
      </w:pPr>
      <w:r>
        <w:rPr>
          <w:rFonts w:ascii="Arial" w:hAnsi="Arial"/>
        </w:rPr>
        <w:t>Les chefs coutumiers qui règlent, selon la coutume, l'utilisation desdites terres par les familles ou les individus ne peuvent en aucun cas se prévaloir de leurs fonctions pour revendiquer d'autres droits sur le sol que ceux résultant de leur exploitation personnelle en conformité avec la coutume.</w:t>
      </w:r>
    </w:p>
    <w:p w:rsidR="001D5B2D" w:rsidRDefault="001D5B2D" w:rsidP="001D5B2D">
      <w:pPr>
        <w:jc w:val="both"/>
        <w:rPr>
          <w:rFonts w:ascii="Arial" w:hAnsi="Arial"/>
        </w:rPr>
      </w:pPr>
      <w:r>
        <w:rPr>
          <w:rFonts w:ascii="Arial" w:hAnsi="Arial"/>
          <w:u w:val="single"/>
        </w:rPr>
        <w:t>Article 45</w:t>
      </w:r>
      <w:r>
        <w:rPr>
          <w:rFonts w:ascii="Arial" w:hAnsi="Arial"/>
        </w:rPr>
        <w:t>. – Les droits coutumiers individuels ainsi constatés, quand ils comportent emprise évidente et permanente sur le sol se traduisant par des constructions ou une mise en valeur régulière sauf, le cas échéant interruptions justifiées par les modes de culture, peuvent être grevés de droits nouveaux ou concédés au profit de tous tiers. Dans ce cas, le nouveau concessionnaire est tenu de requérir et sans délai l'immatriculation de l'immeuble.</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u w:val="single"/>
        </w:rPr>
        <w:t>Article 46</w:t>
      </w:r>
      <w:r>
        <w:rPr>
          <w:rFonts w:ascii="Arial" w:hAnsi="Arial"/>
        </w:rPr>
        <w:t>. – Les droits coutumiers autres que ceux définis à l'article précédent ne peuvent être immatriculés. Ils ne peuvent être transférés qu'à des individus ou collectivités susceptibles de posséder les mêmes droits en vertu de la coutume et seulement dans les conditions et limites qu'elle prévoit.</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rPr>
        <w:t>Néanmoins, il peut être fait abandon de tous droits fonciers coutumiers tant en faveur des collectivités et établissement publics qu'en faveur des demandeurs de concessions.</w:t>
      </w:r>
    </w:p>
    <w:p w:rsidR="001D5B2D" w:rsidRDefault="001D5B2D" w:rsidP="001D5B2D">
      <w:pPr>
        <w:jc w:val="both"/>
        <w:rPr>
          <w:rFonts w:ascii="Arial" w:hAnsi="Arial"/>
          <w:sz w:val="16"/>
        </w:rPr>
      </w:pPr>
    </w:p>
    <w:p w:rsidR="001D5B2D" w:rsidRDefault="001D5B2D" w:rsidP="001D5B2D">
      <w:pPr>
        <w:jc w:val="both"/>
        <w:rPr>
          <w:rFonts w:ascii="Arial" w:hAnsi="Arial"/>
        </w:rPr>
      </w:pPr>
      <w:r>
        <w:rPr>
          <w:rFonts w:ascii="Arial" w:hAnsi="Arial"/>
        </w:rPr>
        <w:t>SECTION III : DES CONVENTIONS COUTUMIERES</w:t>
      </w:r>
    </w:p>
    <w:p w:rsidR="001D5B2D" w:rsidRDefault="001D5B2D" w:rsidP="001D5B2D">
      <w:pPr>
        <w:jc w:val="both"/>
        <w:rPr>
          <w:rFonts w:ascii="Arial" w:hAnsi="Arial"/>
        </w:rPr>
      </w:pPr>
      <w:r>
        <w:rPr>
          <w:rFonts w:ascii="Arial" w:hAnsi="Arial"/>
          <w:u w:val="single"/>
        </w:rPr>
        <w:t>Article 48</w:t>
      </w:r>
      <w:r>
        <w:rPr>
          <w:rFonts w:ascii="Arial" w:hAnsi="Arial"/>
        </w:rPr>
        <w:t>. – Les conventions conclues, entre individus ou collectivités selon les règles et formes coutumières sur les terres non immatriculées et droits fonciers, peuvent, en vue de la preuve, être constatées par écrit.</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rPr>
        <w:t>Toutes les conventions conclues antérieurement au présent code entre collectivités traditionnelles peuvent être renouvelées en tenant compte du nouveau découpage territoriale. Les conventions antérieurement conclues entre l'administration et les personnes physiques et morales de droit privé sont également confirmées et régies par les dispositions des articles 43 à 47 du présent code.</w:t>
      </w:r>
    </w:p>
    <w:p w:rsidR="001D5B2D" w:rsidRDefault="001D5B2D" w:rsidP="001D5B2D">
      <w:pPr>
        <w:jc w:val="both"/>
        <w:rPr>
          <w:rFonts w:ascii="Arial" w:hAnsi="Arial"/>
        </w:rPr>
      </w:pPr>
    </w:p>
    <w:p w:rsidR="001D5B2D" w:rsidRDefault="001D5B2D" w:rsidP="001D5B2D">
      <w:pPr>
        <w:jc w:val="both"/>
        <w:rPr>
          <w:rFonts w:ascii="Arial" w:hAnsi="Arial"/>
          <w:i/>
        </w:rPr>
      </w:pPr>
      <w:r>
        <w:rPr>
          <w:rFonts w:ascii="Arial" w:hAnsi="Arial"/>
          <w:i/>
          <w:u w:val="single"/>
        </w:rPr>
        <w:t>CHAPITRE IV</w:t>
      </w:r>
      <w:r>
        <w:rPr>
          <w:rFonts w:ascii="Arial" w:hAnsi="Arial"/>
          <w:i/>
        </w:rPr>
        <w:t xml:space="preserve"> – DU CADASTRE</w:t>
      </w:r>
    </w:p>
    <w:p w:rsidR="001D5B2D" w:rsidRDefault="001D5B2D" w:rsidP="001D5B2D">
      <w:pPr>
        <w:jc w:val="both"/>
        <w:rPr>
          <w:rFonts w:ascii="Arial" w:hAnsi="Arial"/>
        </w:rPr>
      </w:pPr>
    </w:p>
    <w:p w:rsidR="001D5B2D" w:rsidRDefault="001D5B2D" w:rsidP="001D5B2D">
      <w:pPr>
        <w:jc w:val="both"/>
        <w:rPr>
          <w:rFonts w:ascii="Arial" w:hAnsi="Arial"/>
        </w:rPr>
      </w:pPr>
      <w:r>
        <w:rPr>
          <w:rFonts w:ascii="Arial" w:hAnsi="Arial"/>
          <w:u w:val="single"/>
        </w:rPr>
        <w:t>Article 49</w:t>
      </w:r>
      <w:r>
        <w:rPr>
          <w:rFonts w:ascii="Arial" w:hAnsi="Arial"/>
        </w:rPr>
        <w:t>. – Il est institué dans toutes les communes du Mali un cadastre ayant pour objet de préciser les indications relatives à la propriété, aux droits réels, à la contenance, à l'affectation ou à la nature de culture et à l'évaluation des immeubles bâtis et non bâtis.</w:t>
      </w:r>
    </w:p>
    <w:p w:rsidR="001D5B2D" w:rsidRDefault="001D5B2D" w:rsidP="001D5B2D">
      <w:pPr>
        <w:jc w:val="both"/>
        <w:rPr>
          <w:rFonts w:ascii="Arial" w:hAnsi="Arial"/>
        </w:rPr>
      </w:pPr>
    </w:p>
    <w:p w:rsidR="001D5B2D" w:rsidRDefault="001D5B2D" w:rsidP="001D5B2D">
      <w:pPr>
        <w:jc w:val="both"/>
        <w:rPr>
          <w:rFonts w:ascii="Arial" w:hAnsi="Arial"/>
        </w:rPr>
      </w:pPr>
    </w:p>
    <w:p w:rsidR="00BC3501" w:rsidRDefault="00BC3501"/>
    <w:sectPr w:rsidR="00BC3501" w:rsidSect="00BC350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67C" w:rsidRDefault="00B3367C" w:rsidP="001D5B2D">
      <w:r>
        <w:separator/>
      </w:r>
    </w:p>
  </w:endnote>
  <w:endnote w:type="continuationSeparator" w:id="1">
    <w:p w:rsidR="00B3367C" w:rsidRDefault="00B3367C" w:rsidP="001D5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67C" w:rsidRDefault="00B3367C" w:rsidP="001D5B2D">
      <w:r>
        <w:separator/>
      </w:r>
    </w:p>
  </w:footnote>
  <w:footnote w:type="continuationSeparator" w:id="1">
    <w:p w:rsidR="00B3367C" w:rsidRDefault="00B3367C" w:rsidP="001D5B2D">
      <w:r>
        <w:continuationSeparator/>
      </w:r>
    </w:p>
  </w:footnote>
  <w:footnote w:id="2">
    <w:p w:rsidR="001D5B2D" w:rsidRDefault="001D5B2D" w:rsidP="001D5B2D">
      <w:pPr>
        <w:pStyle w:val="noteglou"/>
      </w:pPr>
      <w:r>
        <w:rPr>
          <w:rStyle w:val="Appelnotedebasdep"/>
        </w:rPr>
        <w:footnoteRef/>
      </w:r>
      <w:r>
        <w:t xml:space="preserve"> Par commune, le texte désigne les communes urbaines, au nombre de 19 avant la réforme communale de 1996.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91B35"/>
    <w:multiLevelType w:val="singleLevel"/>
    <w:tmpl w:val="CD023FD0"/>
    <w:lvl w:ilvl="0">
      <w:start w:val="1"/>
      <w:numFmt w:val="bullet"/>
      <w:lvlText w:val="-"/>
      <w:lvlJc w:val="left"/>
      <w:pPr>
        <w:tabs>
          <w:tab w:val="num" w:pos="1425"/>
        </w:tabs>
        <w:ind w:left="1425" w:hanging="360"/>
      </w:pPr>
      <w:rPr>
        <w:rFonts w:hint="default"/>
      </w:rPr>
    </w:lvl>
  </w:abstractNum>
  <w:abstractNum w:abstractNumId="1">
    <w:nsid w:val="21A44265"/>
    <w:multiLevelType w:val="singleLevel"/>
    <w:tmpl w:val="DFEA9F1A"/>
    <w:lvl w:ilvl="0">
      <w:start w:val="1"/>
      <w:numFmt w:val="lowerLetter"/>
      <w:lvlText w:val="%1)"/>
      <w:lvlJc w:val="left"/>
      <w:pPr>
        <w:tabs>
          <w:tab w:val="num" w:pos="1065"/>
        </w:tabs>
        <w:ind w:left="1065" w:hanging="360"/>
      </w:pPr>
      <w:rPr>
        <w:rFonts w:hint="default"/>
      </w:rPr>
    </w:lvl>
  </w:abstractNum>
  <w:abstractNum w:abstractNumId="2">
    <w:nsid w:val="474562B9"/>
    <w:multiLevelType w:val="singleLevel"/>
    <w:tmpl w:val="4E08043A"/>
    <w:lvl w:ilvl="0">
      <w:start w:val="6"/>
      <w:numFmt w:val="bullet"/>
      <w:lvlText w:val="-"/>
      <w:lvlJc w:val="left"/>
      <w:pPr>
        <w:tabs>
          <w:tab w:val="num" w:pos="360"/>
        </w:tabs>
        <w:ind w:left="360" w:hanging="360"/>
      </w:pPr>
      <w:rPr>
        <w:rFonts w:hint="default"/>
      </w:rPr>
    </w:lvl>
  </w:abstractNum>
  <w:abstractNum w:abstractNumId="3">
    <w:nsid w:val="52BE12B9"/>
    <w:multiLevelType w:val="singleLevel"/>
    <w:tmpl w:val="05864976"/>
    <w:lvl w:ilvl="0">
      <w:start w:val="1"/>
      <w:numFmt w:val="decimal"/>
      <w:lvlText w:val="%1."/>
      <w:lvlJc w:val="left"/>
      <w:pPr>
        <w:tabs>
          <w:tab w:val="num" w:pos="390"/>
        </w:tabs>
        <w:ind w:left="390" w:hanging="39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D5B2D"/>
    <w:rsid w:val="001D5B2D"/>
    <w:rsid w:val="003F2571"/>
    <w:rsid w:val="00662938"/>
    <w:rsid w:val="00B3367C"/>
    <w:rsid w:val="00BC3501"/>
    <w:rsid w:val="00D7408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B2D"/>
    <w:pPr>
      <w:spacing w:before="0" w:beforeAutospacing="0" w:after="0" w:afterAutospacing="0"/>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1D5B2D"/>
    <w:pPr>
      <w:keepNext/>
      <w:outlineLvl w:val="0"/>
    </w:pPr>
    <w:rPr>
      <w:rFonts w:ascii="Arial" w:hAnsi="Arial"/>
      <w:b/>
      <w:snapToGrid w:val="0"/>
      <w:color w:val="000000"/>
    </w:rPr>
  </w:style>
  <w:style w:type="paragraph" w:styleId="Titre2">
    <w:name w:val="heading 2"/>
    <w:basedOn w:val="Normal"/>
    <w:next w:val="Normal"/>
    <w:link w:val="Titre2Car"/>
    <w:qFormat/>
    <w:rsid w:val="001D5B2D"/>
    <w:pPr>
      <w:keepNext/>
      <w:jc w:val="both"/>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D5B2D"/>
    <w:rPr>
      <w:rFonts w:ascii="Arial" w:eastAsia="Times New Roman" w:hAnsi="Arial" w:cs="Times New Roman"/>
      <w:b/>
      <w:snapToGrid w:val="0"/>
      <w:color w:val="000000"/>
      <w:sz w:val="20"/>
      <w:szCs w:val="20"/>
      <w:lang w:eastAsia="fr-FR"/>
    </w:rPr>
  </w:style>
  <w:style w:type="character" w:customStyle="1" w:styleId="Titre2Car">
    <w:name w:val="Titre 2 Car"/>
    <w:basedOn w:val="Policepardfaut"/>
    <w:link w:val="Titre2"/>
    <w:rsid w:val="001D5B2D"/>
    <w:rPr>
      <w:rFonts w:ascii="Times New Roman" w:eastAsia="Times New Roman" w:hAnsi="Times New Roman" w:cs="Times New Roman"/>
      <w:b/>
      <w:sz w:val="20"/>
      <w:szCs w:val="20"/>
      <w:lang w:eastAsia="fr-FR"/>
    </w:rPr>
  </w:style>
  <w:style w:type="paragraph" w:customStyle="1" w:styleId="TAB">
    <w:name w:val="TAB"/>
    <w:basedOn w:val="Normal"/>
    <w:autoRedefine/>
    <w:rsid w:val="001D5B2D"/>
    <w:pPr>
      <w:keepNext/>
      <w:keepLines/>
      <w:spacing w:line="360" w:lineRule="auto"/>
      <w:ind w:left="567"/>
      <w:jc w:val="both"/>
    </w:pPr>
    <w:rPr>
      <w:rFonts w:ascii="Arial" w:hAnsi="Arial"/>
    </w:rPr>
  </w:style>
  <w:style w:type="paragraph" w:customStyle="1" w:styleId="PIF2">
    <w:name w:val="PIF2"/>
    <w:basedOn w:val="Normal"/>
    <w:rsid w:val="001D5B2D"/>
    <w:pPr>
      <w:keepNext/>
      <w:spacing w:before="120" w:after="120" w:line="360" w:lineRule="auto"/>
      <w:jc w:val="center"/>
    </w:pPr>
    <w:rPr>
      <w:rFonts w:ascii="Arial" w:hAnsi="Arial"/>
      <w:b/>
      <w:caps/>
      <w:kern w:val="28"/>
    </w:rPr>
  </w:style>
  <w:style w:type="paragraph" w:customStyle="1" w:styleId="PIF3">
    <w:name w:val="PIF3"/>
    <w:basedOn w:val="Normal"/>
    <w:autoRedefine/>
    <w:rsid w:val="001D5B2D"/>
    <w:pPr>
      <w:keepNext/>
      <w:spacing w:before="120" w:after="120"/>
      <w:ind w:left="567"/>
    </w:pPr>
    <w:rPr>
      <w:rFonts w:ascii="Arial" w:hAnsi="Arial"/>
      <w:b/>
    </w:rPr>
  </w:style>
  <w:style w:type="paragraph" w:customStyle="1" w:styleId="PIF4">
    <w:name w:val="PIF4"/>
    <w:basedOn w:val="Normal"/>
    <w:rsid w:val="001D5B2D"/>
    <w:pPr>
      <w:spacing w:line="360" w:lineRule="auto"/>
      <w:ind w:left="567"/>
      <w:jc w:val="both"/>
    </w:pPr>
    <w:rPr>
      <w:rFonts w:ascii="Arial" w:hAnsi="Arial"/>
    </w:rPr>
  </w:style>
  <w:style w:type="paragraph" w:customStyle="1" w:styleId="normarial">
    <w:name w:val="normarial"/>
    <w:basedOn w:val="Normal"/>
    <w:rsid w:val="001D5B2D"/>
    <w:rPr>
      <w:rFonts w:ascii="Arial" w:hAnsi="Arial"/>
    </w:rPr>
  </w:style>
  <w:style w:type="paragraph" w:customStyle="1" w:styleId="noteglou">
    <w:name w:val="noteglou"/>
    <w:basedOn w:val="PIF4"/>
    <w:next w:val="Normal"/>
    <w:rsid w:val="001D5B2D"/>
    <w:pPr>
      <w:spacing w:after="120" w:line="240" w:lineRule="auto"/>
      <w:ind w:left="0"/>
      <w:outlineLvl w:val="0"/>
    </w:pPr>
    <w:rPr>
      <w:kern w:val="28"/>
    </w:rPr>
  </w:style>
  <w:style w:type="character" w:styleId="Appelnotedebasdep">
    <w:name w:val="footnote reference"/>
    <w:basedOn w:val="Policepardfaut"/>
    <w:semiHidden/>
    <w:rsid w:val="001D5B2D"/>
    <w:rPr>
      <w:vertAlign w:val="superscript"/>
    </w:rPr>
  </w:style>
  <w:style w:type="paragraph" w:styleId="Corpsdetexte">
    <w:name w:val="Body Text"/>
    <w:basedOn w:val="Normal"/>
    <w:link w:val="CorpsdetexteCar"/>
    <w:semiHidden/>
    <w:rsid w:val="001D5B2D"/>
    <w:pPr>
      <w:jc w:val="both"/>
    </w:pPr>
  </w:style>
  <w:style w:type="character" w:customStyle="1" w:styleId="CorpsdetexteCar">
    <w:name w:val="Corps de texte Car"/>
    <w:basedOn w:val="Policepardfaut"/>
    <w:link w:val="Corpsdetexte"/>
    <w:semiHidden/>
    <w:rsid w:val="001D5B2D"/>
    <w:rPr>
      <w:rFonts w:ascii="Times New Roman" w:eastAsia="Times New Roman" w:hAnsi="Times New Roman" w:cs="Times New Roman"/>
      <w:sz w:val="20"/>
      <w:szCs w:val="20"/>
      <w:lang w:eastAsia="fr-FR"/>
    </w:rPr>
  </w:style>
  <w:style w:type="paragraph" w:styleId="Corpsdetexte2">
    <w:name w:val="Body Text 2"/>
    <w:basedOn w:val="Normal"/>
    <w:link w:val="Corpsdetexte2Car"/>
    <w:semiHidden/>
    <w:rsid w:val="001D5B2D"/>
    <w:pPr>
      <w:jc w:val="both"/>
    </w:pPr>
    <w:rPr>
      <w:b/>
    </w:rPr>
  </w:style>
  <w:style w:type="character" w:customStyle="1" w:styleId="Corpsdetexte2Car">
    <w:name w:val="Corps de texte 2 Car"/>
    <w:basedOn w:val="Policepardfaut"/>
    <w:link w:val="Corpsdetexte2"/>
    <w:semiHidden/>
    <w:rsid w:val="001D5B2D"/>
    <w:rPr>
      <w:rFonts w:ascii="Times New Roman" w:eastAsia="Times New Roman" w:hAnsi="Times New Roman" w:cs="Times New Roman"/>
      <w:b/>
      <w:sz w:val="20"/>
      <w:szCs w:val="20"/>
      <w:lang w:eastAsia="fr-FR"/>
    </w:rPr>
  </w:style>
  <w:style w:type="paragraph" w:customStyle="1" w:styleId="annexe">
    <w:name w:val="annexe"/>
    <w:basedOn w:val="Normal"/>
    <w:rsid w:val="001D5B2D"/>
    <w:pPr>
      <w:keepNext/>
      <w:spacing w:before="120" w:after="120" w:line="360" w:lineRule="auto"/>
      <w:jc w:val="center"/>
      <w:outlineLvl w:val="0"/>
    </w:pPr>
    <w:rPr>
      <w:rFonts w:ascii="Arial" w:hAnsi="Arial"/>
      <w:b/>
      <w:caps/>
      <w:kern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2431</Words>
  <Characters>13371</Characters>
  <Application>Microsoft Office Word</Application>
  <DocSecurity>0</DocSecurity>
  <Lines>111</Lines>
  <Paragraphs>31</Paragraphs>
  <ScaleCrop>false</ScaleCrop>
  <Company/>
  <LinksUpToDate>false</LinksUpToDate>
  <CharactersWithSpaces>15771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2022-07-19T08:49:00Z</dcterms:created>
  <dcterms:modified xsi:type="dcterms:W3CDTF">2022-07-22T12:20:00Z</dcterms:modified>
</cp:coreProperties>
</file>